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E2EA1" w14:textId="77777777" w:rsidR="00567241" w:rsidRDefault="00567241" w:rsidP="00567241">
      <w:pPr>
        <w:rPr>
          <w:rFonts w:ascii="Arial" w:hAnsi="Arial" w:cs="Arial"/>
          <w:sz w:val="24"/>
          <w:szCs w:val="24"/>
        </w:rPr>
      </w:pPr>
    </w:p>
    <w:p w14:paraId="414FC708" w14:textId="29D9A2A5" w:rsidR="00567241" w:rsidRDefault="00567241" w:rsidP="005672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BDD6EE" w:themeFill="accent5" w:themeFillTint="66"/>
        </w:rPr>
        <w:t>Česká společnost soudního lékařství a soudní toxikologie ČLS JEP</w:t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83247EE" wp14:editId="419FC872">
            <wp:simplePos x="0" y="0"/>
            <wp:positionH relativeFrom="column">
              <wp:posOffset>4815205</wp:posOffset>
            </wp:positionH>
            <wp:positionV relativeFrom="paragraph">
              <wp:posOffset>-542290</wp:posOffset>
            </wp:positionV>
            <wp:extent cx="914400" cy="914400"/>
            <wp:effectExtent l="0" t="0" r="0" b="0"/>
            <wp:wrapSquare wrapText="bothSides"/>
            <wp:docPr id="1005956118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35101" w14:textId="77777777" w:rsidR="00567241" w:rsidRDefault="00567241" w:rsidP="00567241">
      <w:pPr>
        <w:rPr>
          <w:rFonts w:ascii="Arial" w:hAnsi="Arial" w:cs="Arial"/>
          <w:sz w:val="24"/>
          <w:szCs w:val="24"/>
        </w:rPr>
      </w:pPr>
    </w:p>
    <w:p w14:paraId="2A9757B3" w14:textId="77777777" w:rsidR="00567241" w:rsidRDefault="00567241" w:rsidP="00567241">
      <w:pPr>
        <w:rPr>
          <w:rFonts w:ascii="Arial" w:hAnsi="Arial" w:cs="Arial"/>
          <w:sz w:val="24"/>
          <w:szCs w:val="24"/>
        </w:rPr>
      </w:pPr>
    </w:p>
    <w:p w14:paraId="0B0C3AAF" w14:textId="38D9C61C" w:rsidR="00567241" w:rsidRPr="00235781" w:rsidRDefault="00567241" w:rsidP="00567241">
      <w:pPr>
        <w:rPr>
          <w:rFonts w:ascii="Arial" w:hAnsi="Arial" w:cs="Arial"/>
          <w:b/>
          <w:sz w:val="24"/>
          <w:szCs w:val="24"/>
        </w:rPr>
      </w:pPr>
      <w:r w:rsidRPr="00725F6A">
        <w:rPr>
          <w:rFonts w:ascii="Arial" w:hAnsi="Arial" w:cs="Arial"/>
          <w:sz w:val="24"/>
          <w:szCs w:val="24"/>
        </w:rPr>
        <w:t xml:space="preserve">APENDIX: </w:t>
      </w:r>
      <w:r w:rsidRPr="00725F6A">
        <w:rPr>
          <w:rFonts w:ascii="Arial" w:hAnsi="Arial" w:cs="Arial"/>
          <w:b/>
          <w:sz w:val="24"/>
          <w:szCs w:val="24"/>
        </w:rPr>
        <w:t>AP-SOP-</w:t>
      </w:r>
      <w:r w:rsidR="006B1EDC">
        <w:rPr>
          <w:rFonts w:ascii="Arial" w:hAnsi="Arial" w:cs="Arial"/>
          <w:b/>
          <w:sz w:val="24"/>
          <w:szCs w:val="24"/>
        </w:rPr>
        <w:t xml:space="preserve"> </w:t>
      </w:r>
      <w:r w:rsidRPr="00235781">
        <w:rPr>
          <w:rFonts w:ascii="Arial" w:hAnsi="Arial" w:cs="Arial"/>
          <w:b/>
          <w:sz w:val="24"/>
          <w:szCs w:val="24"/>
        </w:rPr>
        <w:t>0</w:t>
      </w:r>
      <w:r w:rsidR="008160BB" w:rsidRPr="00235781">
        <w:rPr>
          <w:rFonts w:ascii="Arial" w:hAnsi="Arial" w:cs="Arial"/>
          <w:b/>
          <w:sz w:val="24"/>
          <w:szCs w:val="24"/>
        </w:rPr>
        <w:t>06</w:t>
      </w:r>
    </w:p>
    <w:p w14:paraId="6F33F814" w14:textId="7BE93231" w:rsidR="00567241" w:rsidRPr="00725F6A" w:rsidRDefault="00567241" w:rsidP="00567241">
      <w:pPr>
        <w:rPr>
          <w:rFonts w:ascii="Arial" w:hAnsi="Arial" w:cs="Arial"/>
          <w:b/>
          <w:sz w:val="24"/>
          <w:szCs w:val="24"/>
        </w:rPr>
      </w:pPr>
      <w:r w:rsidRPr="00235781">
        <w:rPr>
          <w:rFonts w:ascii="Arial" w:hAnsi="Arial" w:cs="Arial"/>
          <w:sz w:val="24"/>
          <w:szCs w:val="24"/>
        </w:rPr>
        <w:t xml:space="preserve">Název: </w:t>
      </w:r>
      <w:r w:rsidR="008160BB" w:rsidRPr="00235781">
        <w:rPr>
          <w:rFonts w:ascii="Arial" w:hAnsi="Arial" w:cs="Arial"/>
          <w:b/>
          <w:sz w:val="24"/>
          <w:szCs w:val="24"/>
        </w:rPr>
        <w:t xml:space="preserve">Identifikace zemřelých </w:t>
      </w:r>
      <w:r w:rsidR="00533CFF" w:rsidRPr="00235781">
        <w:rPr>
          <w:rFonts w:ascii="Arial" w:hAnsi="Arial" w:cs="Arial"/>
          <w:b/>
          <w:sz w:val="24"/>
          <w:szCs w:val="24"/>
        </w:rPr>
        <w:t xml:space="preserve">osob </w:t>
      </w:r>
      <w:r w:rsidR="008160BB" w:rsidRPr="00235781">
        <w:rPr>
          <w:rFonts w:ascii="Arial" w:hAnsi="Arial" w:cs="Arial"/>
          <w:b/>
          <w:sz w:val="24"/>
          <w:szCs w:val="24"/>
        </w:rPr>
        <w:t>neznámé totožnosti</w:t>
      </w:r>
    </w:p>
    <w:p w14:paraId="37C1136C" w14:textId="77777777" w:rsidR="00567241" w:rsidRPr="00725F6A" w:rsidRDefault="00567241" w:rsidP="00567241">
      <w:pPr>
        <w:rPr>
          <w:rFonts w:ascii="Arial" w:hAnsi="Arial" w:cs="Arial"/>
          <w:b/>
          <w:sz w:val="24"/>
          <w:szCs w:val="24"/>
        </w:rPr>
      </w:pPr>
      <w:r w:rsidRPr="00725F6A">
        <w:rPr>
          <w:rFonts w:ascii="Arial" w:hAnsi="Arial" w:cs="Arial"/>
          <w:sz w:val="24"/>
          <w:szCs w:val="24"/>
        </w:rPr>
        <w:t xml:space="preserve">Příloha k: </w:t>
      </w:r>
      <w:r w:rsidRPr="00725F6A">
        <w:rPr>
          <w:rFonts w:ascii="Arial" w:hAnsi="Arial" w:cs="Arial"/>
          <w:b/>
          <w:sz w:val="24"/>
          <w:szCs w:val="24"/>
        </w:rPr>
        <w:t xml:space="preserve">Standardní operační postup k výkonu pitvy poskytovatele v oboru soudní lékařství „SOP – Pitva“  </w:t>
      </w:r>
    </w:p>
    <w:p w14:paraId="0512EF54" w14:textId="77777777" w:rsidR="00567241" w:rsidRPr="00725F6A" w:rsidRDefault="00567241" w:rsidP="00567241">
      <w:pPr>
        <w:rPr>
          <w:rFonts w:ascii="Arial" w:hAnsi="Arial" w:cs="Arial"/>
          <w:sz w:val="24"/>
          <w:szCs w:val="24"/>
        </w:rPr>
      </w:pPr>
    </w:p>
    <w:p w14:paraId="42741BDE" w14:textId="0AE9B88A" w:rsidR="00567241" w:rsidRPr="00725F6A" w:rsidRDefault="00567241" w:rsidP="00567241">
      <w:pPr>
        <w:rPr>
          <w:rFonts w:ascii="Arial" w:hAnsi="Arial" w:cs="Arial"/>
          <w:b/>
          <w:sz w:val="24"/>
          <w:szCs w:val="24"/>
        </w:rPr>
      </w:pPr>
      <w:r w:rsidRPr="00725F6A">
        <w:rPr>
          <w:rFonts w:ascii="Arial" w:hAnsi="Arial" w:cs="Arial"/>
          <w:b/>
          <w:sz w:val="24"/>
          <w:szCs w:val="24"/>
        </w:rPr>
        <w:t>Preambule</w:t>
      </w:r>
    </w:p>
    <w:p w14:paraId="7B5DEFE2" w14:textId="49BF3F80" w:rsidR="00567241" w:rsidRPr="00725F6A" w:rsidRDefault="00567241" w:rsidP="00567241">
      <w:pPr>
        <w:jc w:val="both"/>
        <w:rPr>
          <w:rFonts w:ascii="Arial" w:hAnsi="Arial" w:cs="Arial"/>
          <w:sz w:val="24"/>
          <w:szCs w:val="24"/>
        </w:rPr>
      </w:pPr>
      <w:r w:rsidRPr="00725F6A">
        <w:rPr>
          <w:rFonts w:ascii="Arial" w:hAnsi="Arial" w:cs="Arial"/>
          <w:sz w:val="24"/>
          <w:szCs w:val="24"/>
        </w:rPr>
        <w:t>Tento apendix je přílohou ke Standardnímu operačnímu postupu (</w:t>
      </w:r>
      <w:r w:rsidR="00725F6A" w:rsidRPr="00725F6A">
        <w:rPr>
          <w:rFonts w:ascii="Arial" w:hAnsi="Arial" w:cs="Arial"/>
          <w:sz w:val="24"/>
          <w:szCs w:val="24"/>
        </w:rPr>
        <w:t>SOP – Pitva</w:t>
      </w:r>
      <w:r w:rsidRPr="00725F6A">
        <w:rPr>
          <w:rFonts w:ascii="Arial" w:hAnsi="Arial" w:cs="Arial"/>
          <w:sz w:val="24"/>
          <w:szCs w:val="24"/>
        </w:rPr>
        <w:t xml:space="preserve">), který byl vypracován a schválen výborem České společnosti soudního lékařství a soudní toxikologie ČLS JEP, a který je určený pro standardizaci a metodické postupy v oboru soudní lékařství. </w:t>
      </w:r>
    </w:p>
    <w:p w14:paraId="5DC8A1F1" w14:textId="5937C47B" w:rsidR="00567241" w:rsidRPr="00725F6A" w:rsidRDefault="00567241" w:rsidP="00567241">
      <w:pPr>
        <w:jc w:val="both"/>
        <w:rPr>
          <w:rFonts w:ascii="Arial" w:hAnsi="Arial" w:cs="Arial"/>
          <w:sz w:val="24"/>
          <w:szCs w:val="24"/>
        </w:rPr>
      </w:pPr>
      <w:r w:rsidRPr="00725F6A">
        <w:rPr>
          <w:rFonts w:ascii="Arial" w:hAnsi="Arial" w:cs="Arial"/>
          <w:sz w:val="24"/>
          <w:szCs w:val="24"/>
        </w:rPr>
        <w:t>Apendix  AP-SOP-</w:t>
      </w:r>
      <w:r w:rsidR="006B1EDC">
        <w:rPr>
          <w:rFonts w:ascii="Arial" w:hAnsi="Arial" w:cs="Arial"/>
          <w:sz w:val="24"/>
          <w:szCs w:val="24"/>
        </w:rPr>
        <w:t xml:space="preserve"> </w:t>
      </w:r>
      <w:r w:rsidRPr="00425FA6">
        <w:rPr>
          <w:rFonts w:ascii="Arial" w:hAnsi="Arial" w:cs="Arial"/>
          <w:sz w:val="24"/>
          <w:szCs w:val="24"/>
        </w:rPr>
        <w:t>0</w:t>
      </w:r>
      <w:r w:rsidR="008160BB" w:rsidRPr="00425FA6">
        <w:rPr>
          <w:rFonts w:ascii="Arial" w:hAnsi="Arial" w:cs="Arial"/>
          <w:sz w:val="24"/>
          <w:szCs w:val="24"/>
        </w:rPr>
        <w:t>06</w:t>
      </w:r>
      <w:r w:rsidRPr="00725F6A">
        <w:rPr>
          <w:rFonts w:ascii="Arial" w:hAnsi="Arial" w:cs="Arial"/>
          <w:sz w:val="24"/>
          <w:szCs w:val="24"/>
        </w:rPr>
        <w:t xml:space="preserve"> se týká </w:t>
      </w:r>
      <w:r w:rsidR="008160BB" w:rsidRPr="00533CFF">
        <w:rPr>
          <w:rFonts w:ascii="Arial" w:hAnsi="Arial" w:cs="Arial"/>
          <w:sz w:val="24"/>
          <w:szCs w:val="24"/>
        </w:rPr>
        <w:t>úkonů</w:t>
      </w:r>
      <w:r w:rsidRPr="00533CFF">
        <w:rPr>
          <w:rFonts w:ascii="Arial" w:hAnsi="Arial" w:cs="Arial"/>
          <w:sz w:val="24"/>
          <w:szCs w:val="24"/>
        </w:rPr>
        <w:t>,</w:t>
      </w:r>
      <w:r w:rsidRPr="00725F6A">
        <w:rPr>
          <w:rFonts w:ascii="Arial" w:hAnsi="Arial" w:cs="Arial"/>
          <w:sz w:val="24"/>
          <w:szCs w:val="24"/>
        </w:rPr>
        <w:t xml:space="preserve"> prováděn</w:t>
      </w:r>
      <w:r w:rsidR="008160BB">
        <w:rPr>
          <w:rFonts w:ascii="Arial" w:hAnsi="Arial" w:cs="Arial"/>
          <w:sz w:val="24"/>
          <w:szCs w:val="24"/>
        </w:rPr>
        <w:t>ých</w:t>
      </w:r>
      <w:r w:rsidRPr="00725F6A">
        <w:rPr>
          <w:rFonts w:ascii="Arial" w:hAnsi="Arial" w:cs="Arial"/>
          <w:sz w:val="24"/>
          <w:szCs w:val="24"/>
        </w:rPr>
        <w:t xml:space="preserve"> poskytovatelem v oboru soudní lékařství</w:t>
      </w:r>
      <w:r w:rsidR="008160BB">
        <w:rPr>
          <w:rFonts w:ascii="Arial" w:hAnsi="Arial" w:cs="Arial"/>
          <w:sz w:val="24"/>
          <w:szCs w:val="24"/>
        </w:rPr>
        <w:t xml:space="preserve"> v rámci identifikace zemřelých </w:t>
      </w:r>
      <w:r w:rsidR="00090FA1">
        <w:rPr>
          <w:rFonts w:ascii="Arial" w:hAnsi="Arial" w:cs="Arial"/>
          <w:sz w:val="24"/>
          <w:szCs w:val="24"/>
        </w:rPr>
        <w:t xml:space="preserve">osob </w:t>
      </w:r>
      <w:r w:rsidR="008160BB">
        <w:rPr>
          <w:rFonts w:ascii="Arial" w:hAnsi="Arial" w:cs="Arial"/>
          <w:sz w:val="24"/>
          <w:szCs w:val="24"/>
        </w:rPr>
        <w:t>neznámé totožnosti</w:t>
      </w:r>
      <w:r w:rsidRPr="00725F6A">
        <w:rPr>
          <w:rFonts w:ascii="Arial" w:hAnsi="Arial" w:cs="Arial"/>
          <w:sz w:val="24"/>
          <w:szCs w:val="24"/>
        </w:rPr>
        <w:t>.</w:t>
      </w:r>
    </w:p>
    <w:p w14:paraId="79583C7C" w14:textId="77777777" w:rsidR="00567241" w:rsidRPr="00725F6A" w:rsidRDefault="00567241" w:rsidP="00567241">
      <w:pPr>
        <w:jc w:val="both"/>
        <w:rPr>
          <w:rFonts w:ascii="Arial" w:hAnsi="Arial" w:cs="Arial"/>
          <w:sz w:val="24"/>
          <w:szCs w:val="24"/>
        </w:rPr>
      </w:pPr>
    </w:p>
    <w:p w14:paraId="49155AE1" w14:textId="3200319E" w:rsidR="00567241" w:rsidRPr="003A1871" w:rsidRDefault="008160BB" w:rsidP="00D43EE1">
      <w:pPr>
        <w:pStyle w:val="Odstavecseseznamem"/>
        <w:numPr>
          <w:ilvl w:val="0"/>
          <w:numId w:val="1"/>
        </w:numPr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3A1871">
        <w:rPr>
          <w:rFonts w:ascii="Arial" w:hAnsi="Arial" w:cs="Arial"/>
          <w:b/>
          <w:sz w:val="24"/>
          <w:szCs w:val="24"/>
        </w:rPr>
        <w:t xml:space="preserve">Identifikace zemřelých </w:t>
      </w:r>
      <w:r w:rsidR="00533CFF" w:rsidRPr="003A1871">
        <w:rPr>
          <w:rFonts w:ascii="Arial" w:hAnsi="Arial" w:cs="Arial"/>
          <w:b/>
          <w:sz w:val="24"/>
          <w:szCs w:val="24"/>
        </w:rPr>
        <w:t>–</w:t>
      </w:r>
      <w:r w:rsidRPr="003A1871">
        <w:rPr>
          <w:rFonts w:ascii="Arial" w:hAnsi="Arial" w:cs="Arial"/>
          <w:b/>
          <w:sz w:val="24"/>
          <w:szCs w:val="24"/>
        </w:rPr>
        <w:t xml:space="preserve"> obecn</w:t>
      </w:r>
      <w:r w:rsidR="00533CFF" w:rsidRPr="003A1871">
        <w:rPr>
          <w:rFonts w:ascii="Arial" w:hAnsi="Arial" w:cs="Arial"/>
          <w:b/>
          <w:sz w:val="24"/>
          <w:szCs w:val="24"/>
        </w:rPr>
        <w:t>é hledisko</w:t>
      </w:r>
    </w:p>
    <w:p w14:paraId="019178E6" w14:textId="3A8FF0BB" w:rsidR="00F1416A" w:rsidRDefault="00F1416A" w:rsidP="006B1E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Identifikac</w:t>
      </w:r>
      <w:r w:rsidR="00B67EB3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 </w:t>
      </w:r>
      <w:r w:rsidR="00533CFF">
        <w:rPr>
          <w:rFonts w:ascii="Arial" w:hAnsi="Arial" w:cs="Arial"/>
          <w:sz w:val="24"/>
          <w:szCs w:val="24"/>
        </w:rPr>
        <w:t xml:space="preserve">zemřelé </w:t>
      </w:r>
      <w:r>
        <w:rPr>
          <w:rFonts w:ascii="Arial" w:hAnsi="Arial" w:cs="Arial"/>
          <w:sz w:val="24"/>
          <w:szCs w:val="24"/>
        </w:rPr>
        <w:t xml:space="preserve">osoby </w:t>
      </w:r>
      <w:r w:rsidR="00B67EB3">
        <w:rPr>
          <w:rFonts w:ascii="Arial" w:hAnsi="Arial" w:cs="Arial"/>
          <w:sz w:val="24"/>
          <w:szCs w:val="24"/>
        </w:rPr>
        <w:t xml:space="preserve">se rozumí </w:t>
      </w:r>
      <w:r>
        <w:rPr>
          <w:rFonts w:ascii="Arial" w:hAnsi="Arial" w:cs="Arial"/>
          <w:sz w:val="24"/>
          <w:szCs w:val="24"/>
        </w:rPr>
        <w:t>postup</w:t>
      </w:r>
      <w:r w:rsidR="00533CF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k urč</w:t>
      </w:r>
      <w:r w:rsidR="00533CF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ní totožnosti člověka.</w:t>
      </w:r>
    </w:p>
    <w:p w14:paraId="6573A58F" w14:textId="48720102" w:rsidR="008160BB" w:rsidRDefault="008160BB" w:rsidP="006B1EDC">
      <w:pPr>
        <w:jc w:val="both"/>
        <w:rPr>
          <w:rFonts w:ascii="Arial" w:hAnsi="Arial" w:cs="Arial"/>
          <w:sz w:val="24"/>
          <w:szCs w:val="24"/>
        </w:rPr>
      </w:pPr>
      <w:r w:rsidRPr="008160BB">
        <w:rPr>
          <w:rFonts w:ascii="Arial" w:hAnsi="Arial" w:cs="Arial"/>
          <w:sz w:val="24"/>
          <w:szCs w:val="24"/>
        </w:rPr>
        <w:t xml:space="preserve">Za identifikaci </w:t>
      </w:r>
      <w:r>
        <w:rPr>
          <w:rFonts w:ascii="Arial" w:hAnsi="Arial" w:cs="Arial"/>
          <w:sz w:val="24"/>
          <w:szCs w:val="24"/>
        </w:rPr>
        <w:t>(ztotožnění, ustanovení</w:t>
      </w:r>
      <w:r w:rsidR="00404B6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765E79">
        <w:rPr>
          <w:rFonts w:ascii="Arial" w:hAnsi="Arial" w:cs="Arial"/>
          <w:sz w:val="24"/>
          <w:szCs w:val="24"/>
        </w:rPr>
        <w:t xml:space="preserve">zemřelé </w:t>
      </w:r>
      <w:r>
        <w:rPr>
          <w:rFonts w:ascii="Arial" w:hAnsi="Arial" w:cs="Arial"/>
          <w:sz w:val="24"/>
          <w:szCs w:val="24"/>
        </w:rPr>
        <w:t xml:space="preserve">osoby je </w:t>
      </w:r>
      <w:r w:rsidR="00A2658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odpovědný policejní orgán, který </w:t>
      </w:r>
      <w:r w:rsidR="009E6CAA">
        <w:rPr>
          <w:rFonts w:ascii="Arial" w:hAnsi="Arial" w:cs="Arial"/>
          <w:sz w:val="24"/>
          <w:szCs w:val="24"/>
        </w:rPr>
        <w:t>vyšetřuje</w:t>
      </w:r>
      <w:r>
        <w:rPr>
          <w:rFonts w:ascii="Arial" w:hAnsi="Arial" w:cs="Arial"/>
          <w:sz w:val="24"/>
          <w:szCs w:val="24"/>
        </w:rPr>
        <w:t xml:space="preserve"> předmětný případ, ve kterém je nutné identifikovat tělo zemřelé</w:t>
      </w:r>
      <w:r w:rsidR="00404B6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>.</w:t>
      </w:r>
    </w:p>
    <w:p w14:paraId="549E2CF6" w14:textId="49234A41" w:rsidR="00025B08" w:rsidRDefault="008160BB" w:rsidP="00025B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Poskytovatel </w:t>
      </w:r>
      <w:r w:rsidR="002A2E91">
        <w:rPr>
          <w:rFonts w:ascii="Arial" w:hAnsi="Arial" w:cs="Arial"/>
          <w:sz w:val="24"/>
          <w:szCs w:val="24"/>
        </w:rPr>
        <w:t>v oboru soudní lékařství</w:t>
      </w:r>
      <w:r w:rsidR="00BB022A">
        <w:rPr>
          <w:rFonts w:ascii="Arial" w:hAnsi="Arial" w:cs="Arial"/>
          <w:sz w:val="24"/>
          <w:szCs w:val="24"/>
        </w:rPr>
        <w:t xml:space="preserve"> provádí důležité úkony na těle zemřelého</w:t>
      </w:r>
      <w:r w:rsidR="00823DEE">
        <w:rPr>
          <w:rFonts w:ascii="Arial" w:hAnsi="Arial" w:cs="Arial"/>
          <w:sz w:val="24"/>
          <w:szCs w:val="24"/>
        </w:rPr>
        <w:t xml:space="preserve"> neznámé totožnosti</w:t>
      </w:r>
      <w:r w:rsidR="00BB022A">
        <w:rPr>
          <w:rFonts w:ascii="Arial" w:hAnsi="Arial" w:cs="Arial"/>
          <w:sz w:val="24"/>
          <w:szCs w:val="24"/>
        </w:rPr>
        <w:t>, především pitvu zemřelého, kter</w:t>
      </w:r>
      <w:r w:rsidR="00A04AA4">
        <w:rPr>
          <w:rFonts w:ascii="Arial" w:hAnsi="Arial" w:cs="Arial"/>
          <w:sz w:val="24"/>
          <w:szCs w:val="24"/>
        </w:rPr>
        <w:t xml:space="preserve">á by měla </w:t>
      </w:r>
      <w:r w:rsidR="00533CFF">
        <w:rPr>
          <w:rFonts w:ascii="Arial" w:hAnsi="Arial" w:cs="Arial"/>
          <w:sz w:val="24"/>
          <w:szCs w:val="24"/>
        </w:rPr>
        <w:t xml:space="preserve">vždy </w:t>
      </w:r>
      <w:r w:rsidR="00A04AA4">
        <w:rPr>
          <w:rFonts w:ascii="Arial" w:hAnsi="Arial" w:cs="Arial"/>
          <w:sz w:val="24"/>
          <w:szCs w:val="24"/>
        </w:rPr>
        <w:t xml:space="preserve">proběhnout v režimu </w:t>
      </w:r>
      <w:r w:rsidR="00A04AA4" w:rsidRPr="00823DEE">
        <w:rPr>
          <w:rFonts w:ascii="Arial" w:hAnsi="Arial" w:cs="Arial"/>
          <w:b/>
          <w:sz w:val="24"/>
          <w:szCs w:val="24"/>
        </w:rPr>
        <w:t>pitvy nařízené orgánem činným v trestním řízení</w:t>
      </w:r>
      <w:r w:rsidR="00A04AA4">
        <w:rPr>
          <w:rFonts w:ascii="Arial" w:hAnsi="Arial" w:cs="Arial"/>
          <w:sz w:val="24"/>
          <w:szCs w:val="24"/>
        </w:rPr>
        <w:t>, podle § 115/1 trestního řádu, s přibráním dvou znalců z oboru zdravotnictví, odvětví soudní lékařství (§</w:t>
      </w:r>
      <w:r w:rsidR="009A5DD2">
        <w:rPr>
          <w:rFonts w:ascii="Arial" w:hAnsi="Arial" w:cs="Arial"/>
          <w:sz w:val="24"/>
          <w:szCs w:val="24"/>
        </w:rPr>
        <w:t xml:space="preserve"> </w:t>
      </w:r>
      <w:r w:rsidR="00A04AA4">
        <w:rPr>
          <w:rFonts w:ascii="Arial" w:hAnsi="Arial" w:cs="Arial"/>
          <w:sz w:val="24"/>
          <w:szCs w:val="24"/>
        </w:rPr>
        <w:t>105/1,4)</w:t>
      </w:r>
      <w:r w:rsidR="00A12B8C">
        <w:rPr>
          <w:rFonts w:ascii="Arial" w:hAnsi="Arial" w:cs="Arial"/>
          <w:sz w:val="24"/>
          <w:szCs w:val="24"/>
        </w:rPr>
        <w:t xml:space="preserve"> a v případech, kdy to </w:t>
      </w:r>
      <w:r w:rsidR="00425FA6">
        <w:rPr>
          <w:rFonts w:ascii="Arial" w:hAnsi="Arial" w:cs="Arial"/>
          <w:sz w:val="24"/>
          <w:szCs w:val="24"/>
        </w:rPr>
        <w:t xml:space="preserve">z důvodů rozvoje posmrtných změn </w:t>
      </w:r>
      <w:r w:rsidR="00A12B8C">
        <w:rPr>
          <w:rFonts w:ascii="Arial" w:hAnsi="Arial" w:cs="Arial"/>
          <w:sz w:val="24"/>
          <w:szCs w:val="24"/>
        </w:rPr>
        <w:t>vyžaduje diagnostika příčiny smrti, i znalce z odvětví toxikologie</w:t>
      </w:r>
      <w:r w:rsidR="00A04AA4">
        <w:rPr>
          <w:rFonts w:ascii="Arial" w:hAnsi="Arial" w:cs="Arial"/>
          <w:sz w:val="24"/>
          <w:szCs w:val="24"/>
        </w:rPr>
        <w:t xml:space="preserve">. </w:t>
      </w:r>
      <w:r w:rsidR="00025B08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25B08">
        <w:rPr>
          <w:rFonts w:ascii="Arial" w:hAnsi="Arial" w:cs="Arial"/>
          <w:sz w:val="24"/>
          <w:szCs w:val="24"/>
        </w:rPr>
        <w:t xml:space="preserve"> </w:t>
      </w:r>
    </w:p>
    <w:p w14:paraId="34BCE644" w14:textId="6681878C" w:rsidR="00A04AA4" w:rsidRDefault="00B67EB3" w:rsidP="006B1E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Při pitvě </w:t>
      </w:r>
      <w:r w:rsidR="009A5DD2">
        <w:rPr>
          <w:rFonts w:ascii="Arial" w:hAnsi="Arial" w:cs="Arial"/>
          <w:sz w:val="24"/>
          <w:szCs w:val="24"/>
        </w:rPr>
        <w:t xml:space="preserve">soudní lékař </w:t>
      </w:r>
      <w:r>
        <w:rPr>
          <w:rFonts w:ascii="Arial" w:hAnsi="Arial" w:cs="Arial"/>
          <w:sz w:val="24"/>
          <w:szCs w:val="24"/>
        </w:rPr>
        <w:t xml:space="preserve">shromažďuje různé </w:t>
      </w:r>
      <w:r w:rsidR="00887DC8">
        <w:rPr>
          <w:rFonts w:ascii="Arial" w:hAnsi="Arial" w:cs="Arial"/>
          <w:sz w:val="24"/>
          <w:szCs w:val="24"/>
        </w:rPr>
        <w:t>poznatky</w:t>
      </w:r>
      <w:r>
        <w:rPr>
          <w:rFonts w:ascii="Arial" w:hAnsi="Arial" w:cs="Arial"/>
          <w:sz w:val="24"/>
          <w:szCs w:val="24"/>
        </w:rPr>
        <w:t xml:space="preserve"> o </w:t>
      </w:r>
      <w:r w:rsidR="00887DC8">
        <w:rPr>
          <w:rFonts w:ascii="Arial" w:hAnsi="Arial" w:cs="Arial"/>
          <w:sz w:val="24"/>
          <w:szCs w:val="24"/>
        </w:rPr>
        <w:t xml:space="preserve">těle </w:t>
      </w:r>
      <w:r>
        <w:rPr>
          <w:rFonts w:ascii="Arial" w:hAnsi="Arial" w:cs="Arial"/>
          <w:sz w:val="24"/>
          <w:szCs w:val="24"/>
        </w:rPr>
        <w:t>zemřelé osob</w:t>
      </w:r>
      <w:r w:rsidR="00887DC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, které se označují jako tzv. </w:t>
      </w:r>
      <w:r w:rsidRPr="00B67EB3">
        <w:rPr>
          <w:rFonts w:ascii="Arial" w:hAnsi="Arial" w:cs="Arial"/>
          <w:b/>
          <w:bCs/>
          <w:sz w:val="24"/>
          <w:szCs w:val="24"/>
        </w:rPr>
        <w:t>markanty</w:t>
      </w:r>
      <w:r>
        <w:rPr>
          <w:rFonts w:ascii="Arial" w:hAnsi="Arial" w:cs="Arial"/>
          <w:sz w:val="24"/>
          <w:szCs w:val="24"/>
        </w:rPr>
        <w:t xml:space="preserve">. Tyto mohou být dle své povahy </w:t>
      </w:r>
      <w:r w:rsidR="009A5DD2">
        <w:rPr>
          <w:rFonts w:ascii="Arial" w:hAnsi="Arial" w:cs="Arial"/>
          <w:sz w:val="24"/>
          <w:szCs w:val="24"/>
        </w:rPr>
        <w:t xml:space="preserve">považovány </w:t>
      </w:r>
      <w:r>
        <w:rPr>
          <w:rFonts w:ascii="Arial" w:hAnsi="Arial" w:cs="Arial"/>
          <w:sz w:val="24"/>
          <w:szCs w:val="24"/>
        </w:rPr>
        <w:t xml:space="preserve">za hlavní a podpůrné. </w:t>
      </w:r>
    </w:p>
    <w:p w14:paraId="500A521B" w14:textId="3C772D4A" w:rsidR="00567241" w:rsidRPr="00725F6A" w:rsidRDefault="00567241" w:rsidP="003506BF">
      <w:pPr>
        <w:jc w:val="both"/>
        <w:rPr>
          <w:rFonts w:ascii="Arial" w:hAnsi="Arial" w:cs="Arial"/>
          <w:sz w:val="24"/>
          <w:szCs w:val="24"/>
        </w:rPr>
      </w:pPr>
    </w:p>
    <w:p w14:paraId="117E0C0D" w14:textId="625AEBBE" w:rsidR="00567241" w:rsidRDefault="00264B60" w:rsidP="006B1EDC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Pitva zemřelého je prováděna v souladu s apendixy AP-SOP-001 (pitva – zevní prohlídka) a AP-SOP-002 (Pitva – vnitřní prohlídka)</w:t>
      </w:r>
      <w:r w:rsidR="00B958BB">
        <w:rPr>
          <w:rFonts w:ascii="Arial" w:hAnsi="Arial" w:cs="Arial"/>
          <w:sz w:val="24"/>
          <w:szCs w:val="24"/>
        </w:rPr>
        <w:t xml:space="preserve"> k SOP Pitva</w:t>
      </w:r>
      <w:r>
        <w:rPr>
          <w:rFonts w:ascii="Arial" w:hAnsi="Arial" w:cs="Arial"/>
          <w:sz w:val="24"/>
          <w:szCs w:val="24"/>
        </w:rPr>
        <w:t>.</w:t>
      </w:r>
    </w:p>
    <w:p w14:paraId="6E287972" w14:textId="59339657" w:rsidR="00264B60" w:rsidRDefault="00264B60" w:rsidP="00264B60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Důraz je</w:t>
      </w:r>
      <w:r w:rsidR="00403507">
        <w:rPr>
          <w:rFonts w:ascii="Arial" w:hAnsi="Arial" w:cs="Arial"/>
          <w:sz w:val="24"/>
          <w:szCs w:val="24"/>
        </w:rPr>
        <w:t xml:space="preserve"> přitom</w:t>
      </w:r>
      <w:r>
        <w:rPr>
          <w:rFonts w:ascii="Arial" w:hAnsi="Arial" w:cs="Arial"/>
          <w:sz w:val="24"/>
          <w:szCs w:val="24"/>
        </w:rPr>
        <w:t xml:space="preserve"> kladen na vstupní údaje o příjmu těla zemřelého (popis hygienického vaku, jeho zapečetění, identifikační náramek na těle zemřeléh</w:t>
      </w:r>
      <w:r w:rsidR="00D9142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apod.)</w:t>
      </w:r>
      <w:r w:rsidR="00403507">
        <w:rPr>
          <w:rFonts w:ascii="Arial" w:hAnsi="Arial" w:cs="Arial"/>
          <w:sz w:val="24"/>
          <w:szCs w:val="24"/>
        </w:rPr>
        <w:t xml:space="preserve"> a </w:t>
      </w:r>
      <w:r w:rsidR="00403507" w:rsidRPr="00693D66">
        <w:rPr>
          <w:rFonts w:ascii="Arial" w:hAnsi="Arial" w:cs="Arial"/>
          <w:b/>
          <w:bCs/>
          <w:sz w:val="24"/>
          <w:szCs w:val="24"/>
        </w:rPr>
        <w:t>podrobný popis</w:t>
      </w:r>
      <w:r w:rsidR="00403507">
        <w:rPr>
          <w:rFonts w:ascii="Arial" w:hAnsi="Arial" w:cs="Arial"/>
          <w:sz w:val="24"/>
          <w:szCs w:val="24"/>
        </w:rPr>
        <w:t xml:space="preserve"> všech zjištění při zevní a vnitřní prohlídce (pitvě).</w:t>
      </w:r>
    </w:p>
    <w:p w14:paraId="4458437C" w14:textId="77777777" w:rsidR="00B3466B" w:rsidRDefault="00B3466B" w:rsidP="00D91429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5DD01B3A" w14:textId="13E21BAA" w:rsidR="00264B60" w:rsidRDefault="00264B60" w:rsidP="00D91429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 pitvou je vhodné </w:t>
      </w:r>
      <w:r w:rsidR="00D91429">
        <w:rPr>
          <w:rFonts w:ascii="Arial" w:hAnsi="Arial" w:cs="Arial"/>
          <w:sz w:val="24"/>
          <w:szCs w:val="24"/>
        </w:rPr>
        <w:t xml:space="preserve">indikovat </w:t>
      </w:r>
      <w:r w:rsidR="00047723">
        <w:rPr>
          <w:rFonts w:ascii="Arial" w:hAnsi="Arial" w:cs="Arial"/>
          <w:sz w:val="24"/>
          <w:szCs w:val="24"/>
        </w:rPr>
        <w:t xml:space="preserve">provedení zobrazovacího vyšetření (například </w:t>
      </w:r>
      <w:r w:rsidR="00403507">
        <w:rPr>
          <w:rFonts w:ascii="Arial" w:hAnsi="Arial" w:cs="Arial"/>
          <w:sz w:val="24"/>
          <w:szCs w:val="24"/>
        </w:rPr>
        <w:t xml:space="preserve">celotělové </w:t>
      </w:r>
      <w:r w:rsidR="00047723">
        <w:rPr>
          <w:rFonts w:ascii="Arial" w:hAnsi="Arial" w:cs="Arial"/>
          <w:sz w:val="24"/>
          <w:szCs w:val="24"/>
        </w:rPr>
        <w:t xml:space="preserve">post mortem CT, RTG snímky apod.), zvláště u těl </w:t>
      </w:r>
      <w:r w:rsidR="00D91429">
        <w:rPr>
          <w:rFonts w:ascii="Arial" w:hAnsi="Arial" w:cs="Arial"/>
          <w:sz w:val="24"/>
          <w:szCs w:val="24"/>
        </w:rPr>
        <w:t>změ</w:t>
      </w:r>
      <w:r w:rsidR="0067532C">
        <w:rPr>
          <w:rFonts w:ascii="Arial" w:hAnsi="Arial" w:cs="Arial"/>
          <w:sz w:val="24"/>
          <w:szCs w:val="24"/>
        </w:rPr>
        <w:t>ně</w:t>
      </w:r>
      <w:r w:rsidR="00D91429">
        <w:rPr>
          <w:rFonts w:ascii="Arial" w:hAnsi="Arial" w:cs="Arial"/>
          <w:sz w:val="24"/>
          <w:szCs w:val="24"/>
        </w:rPr>
        <w:t xml:space="preserve">ných </w:t>
      </w:r>
      <w:r w:rsidR="00047723">
        <w:rPr>
          <w:rFonts w:ascii="Arial" w:hAnsi="Arial" w:cs="Arial"/>
          <w:sz w:val="24"/>
          <w:szCs w:val="24"/>
        </w:rPr>
        <w:t>pokročil</w:t>
      </w:r>
      <w:r w:rsidR="00D91429">
        <w:rPr>
          <w:rFonts w:ascii="Arial" w:hAnsi="Arial" w:cs="Arial"/>
          <w:sz w:val="24"/>
          <w:szCs w:val="24"/>
        </w:rPr>
        <w:t>ou</w:t>
      </w:r>
      <w:r w:rsidR="00047723" w:rsidRPr="00D91429">
        <w:rPr>
          <w:rFonts w:ascii="Arial" w:hAnsi="Arial" w:cs="Arial"/>
          <w:sz w:val="24"/>
          <w:szCs w:val="24"/>
        </w:rPr>
        <w:t xml:space="preserve"> hnilob</w:t>
      </w:r>
      <w:r w:rsidR="00D91429">
        <w:rPr>
          <w:rFonts w:ascii="Arial" w:hAnsi="Arial" w:cs="Arial"/>
          <w:sz w:val="24"/>
          <w:szCs w:val="24"/>
        </w:rPr>
        <w:t>ou</w:t>
      </w:r>
      <w:r w:rsidR="00BD182F">
        <w:rPr>
          <w:rFonts w:ascii="Arial" w:hAnsi="Arial" w:cs="Arial"/>
          <w:sz w:val="24"/>
          <w:szCs w:val="24"/>
        </w:rPr>
        <w:t xml:space="preserve">, </w:t>
      </w:r>
      <w:r w:rsidR="00693D66">
        <w:rPr>
          <w:rFonts w:ascii="Arial" w:hAnsi="Arial" w:cs="Arial"/>
          <w:sz w:val="24"/>
          <w:szCs w:val="24"/>
        </w:rPr>
        <w:t xml:space="preserve">významně </w:t>
      </w:r>
      <w:r w:rsidR="00B3466B">
        <w:rPr>
          <w:rFonts w:ascii="Arial" w:hAnsi="Arial" w:cs="Arial"/>
          <w:sz w:val="24"/>
          <w:szCs w:val="24"/>
        </w:rPr>
        <w:t xml:space="preserve">termicky </w:t>
      </w:r>
      <w:r w:rsidR="00BA40CB">
        <w:rPr>
          <w:rFonts w:ascii="Arial" w:hAnsi="Arial" w:cs="Arial"/>
          <w:sz w:val="24"/>
          <w:szCs w:val="24"/>
        </w:rPr>
        <w:t xml:space="preserve">nebo </w:t>
      </w:r>
      <w:r w:rsidR="00F50EDB">
        <w:rPr>
          <w:rFonts w:ascii="Arial" w:hAnsi="Arial" w:cs="Arial"/>
          <w:sz w:val="24"/>
          <w:szCs w:val="24"/>
        </w:rPr>
        <w:t xml:space="preserve">mechanicky </w:t>
      </w:r>
      <w:r w:rsidR="00B3466B">
        <w:rPr>
          <w:rFonts w:ascii="Arial" w:hAnsi="Arial" w:cs="Arial"/>
          <w:sz w:val="24"/>
          <w:szCs w:val="24"/>
        </w:rPr>
        <w:t>změněných</w:t>
      </w:r>
      <w:r w:rsidR="00047723" w:rsidRPr="00D91429">
        <w:rPr>
          <w:rFonts w:ascii="Arial" w:hAnsi="Arial" w:cs="Arial"/>
          <w:sz w:val="24"/>
          <w:szCs w:val="24"/>
        </w:rPr>
        <w:t>.</w:t>
      </w:r>
    </w:p>
    <w:p w14:paraId="4A2FB218" w14:textId="77777777" w:rsidR="00B958BB" w:rsidRPr="00D91429" w:rsidRDefault="00B958BB" w:rsidP="00D91429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72241728" w14:textId="505A650C" w:rsidR="00047723" w:rsidRDefault="00DB306E" w:rsidP="00D9142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47723" w:rsidRPr="00D91429">
        <w:rPr>
          <w:rFonts w:ascii="Arial" w:hAnsi="Arial" w:cs="Arial"/>
          <w:sz w:val="24"/>
          <w:szCs w:val="24"/>
        </w:rPr>
        <w:t>olicejním orgánem jsou před nebo po pitvě provedeny kriminalisticko technické úkony (fotodokumentace obličeje</w:t>
      </w:r>
      <w:r w:rsidR="0067532C">
        <w:rPr>
          <w:rFonts w:ascii="Arial" w:hAnsi="Arial" w:cs="Arial"/>
          <w:sz w:val="24"/>
          <w:szCs w:val="24"/>
        </w:rPr>
        <w:t xml:space="preserve"> zemřelého</w:t>
      </w:r>
      <w:r w:rsidR="00047723" w:rsidRPr="00D91429">
        <w:rPr>
          <w:rFonts w:ascii="Arial" w:hAnsi="Arial" w:cs="Arial"/>
          <w:sz w:val="24"/>
          <w:szCs w:val="24"/>
        </w:rPr>
        <w:t>, odběry otisků prstů  - daktyloskopie</w:t>
      </w:r>
      <w:r w:rsidR="00D91429">
        <w:rPr>
          <w:rFonts w:ascii="Arial" w:hAnsi="Arial" w:cs="Arial"/>
          <w:sz w:val="24"/>
          <w:szCs w:val="24"/>
        </w:rPr>
        <w:t xml:space="preserve"> a další dle povahy případu</w:t>
      </w:r>
      <w:r w:rsidR="00047723" w:rsidRPr="00D91429">
        <w:rPr>
          <w:rFonts w:ascii="Arial" w:hAnsi="Arial" w:cs="Arial"/>
          <w:sz w:val="24"/>
          <w:szCs w:val="24"/>
        </w:rPr>
        <w:t>).</w:t>
      </w:r>
    </w:p>
    <w:p w14:paraId="5E3D6539" w14:textId="77777777" w:rsidR="00675150" w:rsidRDefault="00675150" w:rsidP="00403507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2CAC1C13" w14:textId="6E922BC1" w:rsidR="00403507" w:rsidRPr="00D91429" w:rsidRDefault="00403507" w:rsidP="00403507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Pokud policejní orgán požaduje zajištění biologického materiálu k molekulárně biologickému (genetickému) vyšetření, je tento úkon </w:t>
      </w:r>
      <w:r w:rsidR="00693D66">
        <w:rPr>
          <w:rFonts w:ascii="Arial" w:hAnsi="Arial" w:cs="Arial"/>
          <w:sz w:val="24"/>
          <w:szCs w:val="24"/>
        </w:rPr>
        <w:t xml:space="preserve">vždy </w:t>
      </w:r>
      <w:r>
        <w:rPr>
          <w:rFonts w:ascii="Arial" w:hAnsi="Arial" w:cs="Arial"/>
          <w:sz w:val="24"/>
          <w:szCs w:val="24"/>
        </w:rPr>
        <w:t xml:space="preserve">součástí </w:t>
      </w:r>
      <w:r w:rsidR="00A56895">
        <w:rPr>
          <w:rFonts w:ascii="Arial" w:hAnsi="Arial" w:cs="Arial"/>
          <w:sz w:val="24"/>
          <w:szCs w:val="24"/>
        </w:rPr>
        <w:t xml:space="preserve">nařízené </w:t>
      </w:r>
      <w:r>
        <w:rPr>
          <w:rFonts w:ascii="Arial" w:hAnsi="Arial" w:cs="Arial"/>
          <w:sz w:val="24"/>
          <w:szCs w:val="24"/>
        </w:rPr>
        <w:t xml:space="preserve">pitvy. </w:t>
      </w:r>
      <w:r w:rsidR="00675150">
        <w:rPr>
          <w:rFonts w:ascii="Arial" w:hAnsi="Arial" w:cs="Arial"/>
          <w:sz w:val="24"/>
          <w:szCs w:val="24"/>
        </w:rPr>
        <w:t xml:space="preserve">Za vhodný biologický materiál se považuje podle charakteru posmrtných změn na těle obvykle krev, </w:t>
      </w:r>
      <w:r w:rsidR="00232AEE">
        <w:rPr>
          <w:rFonts w:ascii="Arial" w:hAnsi="Arial" w:cs="Arial"/>
          <w:sz w:val="24"/>
          <w:szCs w:val="24"/>
        </w:rPr>
        <w:t xml:space="preserve">část orgánu, vzorek příčně pruhovaného svalu, </w:t>
      </w:r>
      <w:r w:rsidR="00675150">
        <w:rPr>
          <w:rFonts w:ascii="Arial" w:hAnsi="Arial" w:cs="Arial"/>
          <w:sz w:val="24"/>
          <w:szCs w:val="24"/>
        </w:rPr>
        <w:t>vzorek kosti, zub</w:t>
      </w:r>
      <w:r w:rsidR="00232AEE">
        <w:rPr>
          <w:rFonts w:ascii="Arial" w:hAnsi="Arial" w:cs="Arial"/>
          <w:sz w:val="24"/>
          <w:szCs w:val="24"/>
        </w:rPr>
        <w:t>,</w:t>
      </w:r>
      <w:r w:rsidR="00675150">
        <w:rPr>
          <w:rFonts w:ascii="Arial" w:hAnsi="Arial" w:cs="Arial"/>
          <w:sz w:val="24"/>
          <w:szCs w:val="24"/>
        </w:rPr>
        <w:t xml:space="preserve"> </w:t>
      </w:r>
      <w:r w:rsidR="0055246B">
        <w:rPr>
          <w:rFonts w:ascii="Arial" w:hAnsi="Arial" w:cs="Arial"/>
          <w:sz w:val="24"/>
          <w:szCs w:val="24"/>
        </w:rPr>
        <w:t>nehtov</w:t>
      </w:r>
      <w:r w:rsidR="00ED7C51">
        <w:rPr>
          <w:rFonts w:ascii="Arial" w:hAnsi="Arial" w:cs="Arial"/>
          <w:sz w:val="24"/>
          <w:szCs w:val="24"/>
        </w:rPr>
        <w:t>á</w:t>
      </w:r>
      <w:r w:rsidR="0055246B">
        <w:rPr>
          <w:rFonts w:ascii="Arial" w:hAnsi="Arial" w:cs="Arial"/>
          <w:sz w:val="24"/>
          <w:szCs w:val="24"/>
        </w:rPr>
        <w:t xml:space="preserve"> ploténk</w:t>
      </w:r>
      <w:r w:rsidR="00ED7C51">
        <w:rPr>
          <w:rFonts w:ascii="Arial" w:hAnsi="Arial" w:cs="Arial"/>
          <w:sz w:val="24"/>
          <w:szCs w:val="24"/>
        </w:rPr>
        <w:t>a</w:t>
      </w:r>
      <w:r w:rsidR="0055246B">
        <w:rPr>
          <w:rFonts w:ascii="Arial" w:hAnsi="Arial" w:cs="Arial"/>
          <w:sz w:val="24"/>
          <w:szCs w:val="24"/>
        </w:rPr>
        <w:t xml:space="preserve"> prstu ruky nebo nohy apod</w:t>
      </w:r>
      <w:r w:rsidR="00675150">
        <w:rPr>
          <w:rFonts w:ascii="Arial" w:hAnsi="Arial" w:cs="Arial"/>
          <w:sz w:val="24"/>
          <w:szCs w:val="24"/>
        </w:rPr>
        <w:t xml:space="preserve">. Druh odebíraného materiálu je možné konzultovat s odborným pracovníkem (genetikem) pracoviště, kam bude materiál po pitvě zasílán. </w:t>
      </w:r>
      <w:r w:rsidR="00232AEE">
        <w:rPr>
          <w:rFonts w:ascii="Arial" w:hAnsi="Arial" w:cs="Arial"/>
          <w:sz w:val="24"/>
          <w:szCs w:val="24"/>
        </w:rPr>
        <w:t xml:space="preserve">Odběr a uchování materiálu ke genetickému vyšetření je </w:t>
      </w:r>
      <w:r w:rsidR="003A1871">
        <w:rPr>
          <w:rFonts w:ascii="Arial" w:hAnsi="Arial" w:cs="Arial"/>
          <w:sz w:val="24"/>
          <w:szCs w:val="24"/>
        </w:rPr>
        <w:t xml:space="preserve">prováděn v souladu s apendixem AP-SOP-003 (Pitva – odběr a zpracování biologického materiálu, část 3). </w:t>
      </w:r>
      <w:r w:rsidR="00232AEE">
        <w:rPr>
          <w:rFonts w:ascii="Arial" w:hAnsi="Arial" w:cs="Arial"/>
          <w:sz w:val="24"/>
          <w:szCs w:val="24"/>
        </w:rPr>
        <w:t xml:space="preserve"> </w:t>
      </w:r>
      <w:r w:rsidR="00675150">
        <w:rPr>
          <w:rFonts w:ascii="Arial" w:hAnsi="Arial" w:cs="Arial"/>
          <w:sz w:val="24"/>
          <w:szCs w:val="24"/>
        </w:rPr>
        <w:t xml:space="preserve">  </w:t>
      </w:r>
    </w:p>
    <w:p w14:paraId="392CBB81" w14:textId="77777777" w:rsidR="00264B60" w:rsidRDefault="00264B60" w:rsidP="00264B60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2F7624E1" w14:textId="616F6422" w:rsidR="00264B60" w:rsidRDefault="00047723" w:rsidP="006B1EDC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Zevní prohlídka</w:t>
      </w:r>
      <w:r w:rsidR="00D91429">
        <w:rPr>
          <w:rFonts w:ascii="Arial" w:hAnsi="Arial" w:cs="Arial"/>
          <w:sz w:val="24"/>
          <w:szCs w:val="24"/>
        </w:rPr>
        <w:t xml:space="preserve"> </w:t>
      </w:r>
      <w:r w:rsidR="00DB306E">
        <w:rPr>
          <w:rFonts w:ascii="Arial" w:hAnsi="Arial" w:cs="Arial"/>
          <w:sz w:val="24"/>
          <w:szCs w:val="24"/>
        </w:rPr>
        <w:t xml:space="preserve">těla zemřelého a pitva </w:t>
      </w:r>
      <w:r w:rsidR="009E6CAA">
        <w:rPr>
          <w:rFonts w:ascii="Arial" w:hAnsi="Arial" w:cs="Arial"/>
          <w:sz w:val="24"/>
          <w:szCs w:val="24"/>
        </w:rPr>
        <w:t>zahrnuje</w:t>
      </w:r>
      <w:r w:rsidR="00DB306E">
        <w:rPr>
          <w:rFonts w:ascii="Arial" w:hAnsi="Arial" w:cs="Arial"/>
          <w:sz w:val="24"/>
          <w:szCs w:val="24"/>
        </w:rPr>
        <w:t xml:space="preserve"> mimo jiné</w:t>
      </w:r>
      <w:r w:rsidR="00D91429">
        <w:rPr>
          <w:rFonts w:ascii="Arial" w:hAnsi="Arial" w:cs="Arial"/>
          <w:sz w:val="24"/>
          <w:szCs w:val="24"/>
        </w:rPr>
        <w:t>:</w:t>
      </w:r>
    </w:p>
    <w:p w14:paraId="38A17C3D" w14:textId="77777777" w:rsidR="00D91429" w:rsidRPr="00D91429" w:rsidRDefault="00D91429" w:rsidP="00D91429">
      <w:pPr>
        <w:pStyle w:val="Odstavecseseznamem"/>
        <w:rPr>
          <w:rFonts w:ascii="Arial" w:hAnsi="Arial" w:cs="Arial"/>
          <w:sz w:val="24"/>
          <w:szCs w:val="24"/>
        </w:rPr>
      </w:pPr>
    </w:p>
    <w:p w14:paraId="29A84D12" w14:textId="35CB2B63" w:rsidR="00D91429" w:rsidRDefault="00D91429" w:rsidP="00D9142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Podrobný popis oděvních součástek</w:t>
      </w:r>
      <w:r w:rsidR="00F50EDB">
        <w:rPr>
          <w:rFonts w:ascii="Arial" w:hAnsi="Arial" w:cs="Arial"/>
          <w:sz w:val="24"/>
          <w:szCs w:val="24"/>
        </w:rPr>
        <w:t>, obuvi, cenností</w:t>
      </w:r>
      <w:r>
        <w:rPr>
          <w:rFonts w:ascii="Arial" w:hAnsi="Arial" w:cs="Arial"/>
          <w:sz w:val="24"/>
          <w:szCs w:val="24"/>
        </w:rPr>
        <w:t xml:space="preserve"> a všech předmětů, které byly s tělem dodány;</w:t>
      </w:r>
    </w:p>
    <w:p w14:paraId="68D18DA6" w14:textId="2F3F946B" w:rsidR="0051215B" w:rsidRDefault="00D91429" w:rsidP="00D9142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Podrobný popis </w:t>
      </w:r>
      <w:r w:rsidRPr="008C6370">
        <w:rPr>
          <w:rFonts w:ascii="Arial" w:hAnsi="Arial" w:cs="Arial"/>
          <w:b/>
          <w:bCs/>
          <w:sz w:val="24"/>
          <w:szCs w:val="24"/>
        </w:rPr>
        <w:t xml:space="preserve">antropometrických </w:t>
      </w:r>
      <w:r w:rsidR="009E6CAA" w:rsidRPr="008C6370">
        <w:rPr>
          <w:rFonts w:ascii="Arial" w:hAnsi="Arial" w:cs="Arial"/>
          <w:b/>
          <w:bCs/>
          <w:sz w:val="24"/>
          <w:szCs w:val="24"/>
        </w:rPr>
        <w:t>charakteristik</w:t>
      </w:r>
      <w:r w:rsidRPr="008C6370">
        <w:rPr>
          <w:rFonts w:ascii="Arial" w:hAnsi="Arial" w:cs="Arial"/>
          <w:b/>
          <w:bCs/>
          <w:sz w:val="24"/>
          <w:szCs w:val="24"/>
        </w:rPr>
        <w:t xml:space="preserve"> a individuální</w:t>
      </w:r>
      <w:r w:rsidR="0067532C" w:rsidRPr="008C6370">
        <w:rPr>
          <w:rFonts w:ascii="Arial" w:hAnsi="Arial" w:cs="Arial"/>
          <w:b/>
          <w:bCs/>
          <w:sz w:val="24"/>
          <w:szCs w:val="24"/>
        </w:rPr>
        <w:t>ch</w:t>
      </w:r>
      <w:r w:rsidRPr="008C6370">
        <w:rPr>
          <w:rFonts w:ascii="Arial" w:hAnsi="Arial" w:cs="Arial"/>
          <w:b/>
          <w:bCs/>
          <w:sz w:val="24"/>
          <w:szCs w:val="24"/>
        </w:rPr>
        <w:t xml:space="preserve"> charakteristik a nápadností</w:t>
      </w:r>
      <w:r w:rsidR="0051215B">
        <w:rPr>
          <w:rFonts w:ascii="Arial" w:hAnsi="Arial" w:cs="Arial"/>
          <w:sz w:val="24"/>
          <w:szCs w:val="24"/>
        </w:rPr>
        <w:t xml:space="preserve"> </w:t>
      </w:r>
      <w:r w:rsidR="00080EC4">
        <w:rPr>
          <w:rFonts w:ascii="Arial" w:hAnsi="Arial" w:cs="Arial"/>
          <w:sz w:val="24"/>
          <w:szCs w:val="24"/>
        </w:rPr>
        <w:t xml:space="preserve">- </w:t>
      </w:r>
      <w:r w:rsidR="0051215B">
        <w:rPr>
          <w:rFonts w:ascii="Arial" w:hAnsi="Arial" w:cs="Arial"/>
          <w:sz w:val="24"/>
          <w:szCs w:val="24"/>
        </w:rPr>
        <w:t xml:space="preserve">např. </w:t>
      </w:r>
      <w:r w:rsidR="005A308D">
        <w:rPr>
          <w:rFonts w:ascii="Arial" w:hAnsi="Arial" w:cs="Arial"/>
          <w:sz w:val="24"/>
          <w:szCs w:val="24"/>
        </w:rPr>
        <w:t xml:space="preserve">odhad </w:t>
      </w:r>
      <w:r w:rsidR="009E6CAA">
        <w:rPr>
          <w:rFonts w:ascii="Arial" w:hAnsi="Arial" w:cs="Arial"/>
          <w:sz w:val="24"/>
          <w:szCs w:val="24"/>
        </w:rPr>
        <w:t xml:space="preserve">biologického </w:t>
      </w:r>
      <w:r w:rsidR="005A308D">
        <w:rPr>
          <w:rFonts w:ascii="Arial" w:hAnsi="Arial" w:cs="Arial"/>
          <w:sz w:val="24"/>
          <w:szCs w:val="24"/>
        </w:rPr>
        <w:t xml:space="preserve">věku, </w:t>
      </w:r>
      <w:r w:rsidR="00B3466B">
        <w:rPr>
          <w:rFonts w:ascii="Arial" w:hAnsi="Arial" w:cs="Arial"/>
          <w:sz w:val="24"/>
          <w:szCs w:val="24"/>
        </w:rPr>
        <w:t xml:space="preserve">objektivní zjištění </w:t>
      </w:r>
      <w:r w:rsidR="005A308D">
        <w:rPr>
          <w:rFonts w:ascii="Arial" w:hAnsi="Arial" w:cs="Arial"/>
          <w:sz w:val="24"/>
          <w:szCs w:val="24"/>
        </w:rPr>
        <w:t>délk</w:t>
      </w:r>
      <w:r w:rsidR="00B3466B">
        <w:rPr>
          <w:rFonts w:ascii="Arial" w:hAnsi="Arial" w:cs="Arial"/>
          <w:sz w:val="24"/>
          <w:szCs w:val="24"/>
        </w:rPr>
        <w:t>y</w:t>
      </w:r>
      <w:r w:rsidR="005A308D">
        <w:rPr>
          <w:rFonts w:ascii="Arial" w:hAnsi="Arial" w:cs="Arial"/>
          <w:sz w:val="24"/>
          <w:szCs w:val="24"/>
        </w:rPr>
        <w:t xml:space="preserve"> a hmotnost</w:t>
      </w:r>
      <w:r w:rsidR="00744992">
        <w:rPr>
          <w:rFonts w:ascii="Arial" w:hAnsi="Arial" w:cs="Arial"/>
          <w:sz w:val="24"/>
          <w:szCs w:val="24"/>
        </w:rPr>
        <w:t>i</w:t>
      </w:r>
      <w:r w:rsidR="005A308D">
        <w:rPr>
          <w:rFonts w:ascii="Arial" w:hAnsi="Arial" w:cs="Arial"/>
          <w:sz w:val="24"/>
          <w:szCs w:val="24"/>
        </w:rPr>
        <w:t xml:space="preserve"> těla, </w:t>
      </w:r>
      <w:r w:rsidR="00B3466B">
        <w:rPr>
          <w:rFonts w:ascii="Arial" w:hAnsi="Arial" w:cs="Arial"/>
          <w:sz w:val="24"/>
          <w:szCs w:val="24"/>
        </w:rPr>
        <w:t xml:space="preserve">dále </w:t>
      </w:r>
      <w:r w:rsidR="005A308D">
        <w:rPr>
          <w:rFonts w:ascii="Arial" w:hAnsi="Arial" w:cs="Arial"/>
          <w:sz w:val="24"/>
          <w:szCs w:val="24"/>
        </w:rPr>
        <w:t>barva pleti</w:t>
      </w:r>
      <w:r w:rsidR="009E6CAA">
        <w:rPr>
          <w:rFonts w:ascii="Arial" w:hAnsi="Arial" w:cs="Arial"/>
          <w:sz w:val="24"/>
          <w:szCs w:val="24"/>
        </w:rPr>
        <w:t xml:space="preserve"> (rasa)</w:t>
      </w:r>
      <w:r w:rsidR="005A308D">
        <w:rPr>
          <w:rFonts w:ascii="Arial" w:hAnsi="Arial" w:cs="Arial"/>
          <w:sz w:val="24"/>
          <w:szCs w:val="24"/>
        </w:rPr>
        <w:t xml:space="preserve">, </w:t>
      </w:r>
      <w:r w:rsidR="009E6CAA">
        <w:rPr>
          <w:rFonts w:ascii="Arial" w:hAnsi="Arial" w:cs="Arial"/>
          <w:sz w:val="24"/>
          <w:szCs w:val="24"/>
        </w:rPr>
        <w:t xml:space="preserve">barva očních duhovek, </w:t>
      </w:r>
      <w:r w:rsidR="005A308D">
        <w:rPr>
          <w:rFonts w:ascii="Arial" w:hAnsi="Arial" w:cs="Arial"/>
          <w:sz w:val="24"/>
          <w:szCs w:val="24"/>
        </w:rPr>
        <w:t>barva</w:t>
      </w:r>
      <w:r w:rsidR="00693D66">
        <w:rPr>
          <w:rFonts w:ascii="Arial" w:hAnsi="Arial" w:cs="Arial"/>
          <w:sz w:val="24"/>
          <w:szCs w:val="24"/>
        </w:rPr>
        <w:t>, charakter</w:t>
      </w:r>
      <w:r w:rsidR="005A308D">
        <w:rPr>
          <w:rFonts w:ascii="Arial" w:hAnsi="Arial" w:cs="Arial"/>
          <w:sz w:val="24"/>
          <w:szCs w:val="24"/>
        </w:rPr>
        <w:t xml:space="preserve"> a délka vlasů</w:t>
      </w:r>
      <w:r w:rsidR="00A30152">
        <w:rPr>
          <w:rFonts w:ascii="Arial" w:hAnsi="Arial" w:cs="Arial"/>
          <w:sz w:val="24"/>
          <w:szCs w:val="24"/>
        </w:rPr>
        <w:t xml:space="preserve"> a</w:t>
      </w:r>
      <w:r w:rsidR="005A308D">
        <w:rPr>
          <w:rFonts w:ascii="Arial" w:hAnsi="Arial" w:cs="Arial"/>
          <w:sz w:val="24"/>
          <w:szCs w:val="24"/>
        </w:rPr>
        <w:t xml:space="preserve"> vousů</w:t>
      </w:r>
      <w:r w:rsidR="009E6CAA">
        <w:rPr>
          <w:rFonts w:ascii="Arial" w:hAnsi="Arial" w:cs="Arial"/>
          <w:sz w:val="24"/>
          <w:szCs w:val="24"/>
        </w:rPr>
        <w:t xml:space="preserve">, </w:t>
      </w:r>
      <w:r w:rsidR="00A30152">
        <w:rPr>
          <w:rFonts w:ascii="Arial" w:hAnsi="Arial" w:cs="Arial"/>
          <w:sz w:val="24"/>
          <w:szCs w:val="24"/>
        </w:rPr>
        <w:t xml:space="preserve">charakteristika </w:t>
      </w:r>
      <w:r w:rsidR="009E6CAA">
        <w:rPr>
          <w:rFonts w:ascii="Arial" w:hAnsi="Arial" w:cs="Arial"/>
          <w:sz w:val="24"/>
          <w:szCs w:val="24"/>
        </w:rPr>
        <w:t xml:space="preserve">řas </w:t>
      </w:r>
      <w:r w:rsidR="00C54E81">
        <w:rPr>
          <w:rFonts w:ascii="Arial" w:hAnsi="Arial" w:cs="Arial"/>
          <w:sz w:val="24"/>
          <w:szCs w:val="24"/>
        </w:rPr>
        <w:t>a obočí</w:t>
      </w:r>
      <w:r w:rsidR="00106D0B">
        <w:rPr>
          <w:rFonts w:ascii="Arial" w:hAnsi="Arial" w:cs="Arial"/>
          <w:sz w:val="24"/>
          <w:szCs w:val="24"/>
        </w:rPr>
        <w:t xml:space="preserve">, </w:t>
      </w:r>
      <w:r w:rsidR="009E6CAA">
        <w:rPr>
          <w:rFonts w:ascii="Arial" w:hAnsi="Arial" w:cs="Arial"/>
          <w:sz w:val="24"/>
          <w:szCs w:val="24"/>
        </w:rPr>
        <w:t>zvláštnosti</w:t>
      </w:r>
      <w:r w:rsidR="00C54E81">
        <w:rPr>
          <w:rFonts w:ascii="Arial" w:hAnsi="Arial" w:cs="Arial"/>
          <w:sz w:val="24"/>
          <w:szCs w:val="24"/>
        </w:rPr>
        <w:t xml:space="preserve"> </w:t>
      </w:r>
      <w:r w:rsidR="009E6CAA">
        <w:rPr>
          <w:rFonts w:ascii="Arial" w:hAnsi="Arial" w:cs="Arial"/>
          <w:sz w:val="24"/>
          <w:szCs w:val="24"/>
        </w:rPr>
        <w:t xml:space="preserve">v obličeji </w:t>
      </w:r>
      <w:r w:rsidR="00C54E81">
        <w:rPr>
          <w:rFonts w:ascii="Arial" w:hAnsi="Arial" w:cs="Arial"/>
          <w:sz w:val="24"/>
          <w:szCs w:val="24"/>
        </w:rPr>
        <w:t>(</w:t>
      </w:r>
      <w:r w:rsidR="0067532C">
        <w:rPr>
          <w:rFonts w:ascii="Arial" w:hAnsi="Arial" w:cs="Arial"/>
          <w:sz w:val="24"/>
          <w:szCs w:val="24"/>
        </w:rPr>
        <w:t xml:space="preserve">tvar </w:t>
      </w:r>
      <w:r w:rsidR="00C54E81">
        <w:rPr>
          <w:rFonts w:ascii="Arial" w:hAnsi="Arial" w:cs="Arial"/>
          <w:sz w:val="24"/>
          <w:szCs w:val="24"/>
        </w:rPr>
        <w:t>nos</w:t>
      </w:r>
      <w:r w:rsidR="0067532C">
        <w:rPr>
          <w:rFonts w:ascii="Arial" w:hAnsi="Arial" w:cs="Arial"/>
          <w:sz w:val="24"/>
          <w:szCs w:val="24"/>
        </w:rPr>
        <w:t>u</w:t>
      </w:r>
      <w:r w:rsidR="009E6CAA">
        <w:rPr>
          <w:rFonts w:ascii="Arial" w:hAnsi="Arial" w:cs="Arial"/>
          <w:sz w:val="24"/>
          <w:szCs w:val="24"/>
        </w:rPr>
        <w:t xml:space="preserve"> a</w:t>
      </w:r>
      <w:r w:rsidR="00C54E81">
        <w:rPr>
          <w:rFonts w:ascii="Arial" w:hAnsi="Arial" w:cs="Arial"/>
          <w:sz w:val="24"/>
          <w:szCs w:val="24"/>
        </w:rPr>
        <w:t xml:space="preserve"> ušní</w:t>
      </w:r>
      <w:r w:rsidR="0067532C">
        <w:rPr>
          <w:rFonts w:ascii="Arial" w:hAnsi="Arial" w:cs="Arial"/>
          <w:sz w:val="24"/>
          <w:szCs w:val="24"/>
        </w:rPr>
        <w:t>ch</w:t>
      </w:r>
      <w:r w:rsidR="00C54E81">
        <w:rPr>
          <w:rFonts w:ascii="Arial" w:hAnsi="Arial" w:cs="Arial"/>
          <w:sz w:val="24"/>
          <w:szCs w:val="24"/>
        </w:rPr>
        <w:t xml:space="preserve"> boltc</w:t>
      </w:r>
      <w:r w:rsidR="0067532C">
        <w:rPr>
          <w:rFonts w:ascii="Arial" w:hAnsi="Arial" w:cs="Arial"/>
          <w:sz w:val="24"/>
          <w:szCs w:val="24"/>
        </w:rPr>
        <w:t>ů</w:t>
      </w:r>
      <w:r w:rsidR="00C54E81">
        <w:rPr>
          <w:rFonts w:ascii="Arial" w:hAnsi="Arial" w:cs="Arial"/>
          <w:sz w:val="24"/>
          <w:szCs w:val="24"/>
        </w:rPr>
        <w:t xml:space="preserve">, </w:t>
      </w:r>
      <w:r w:rsidR="0067532C">
        <w:rPr>
          <w:rFonts w:ascii="Arial" w:hAnsi="Arial" w:cs="Arial"/>
          <w:sz w:val="24"/>
          <w:szCs w:val="24"/>
        </w:rPr>
        <w:t xml:space="preserve">kožní </w:t>
      </w:r>
      <w:r w:rsidR="00C54E81">
        <w:rPr>
          <w:rFonts w:ascii="Arial" w:hAnsi="Arial" w:cs="Arial"/>
          <w:sz w:val="24"/>
          <w:szCs w:val="24"/>
        </w:rPr>
        <w:t>vrásky</w:t>
      </w:r>
      <w:r w:rsidR="009E6CAA">
        <w:rPr>
          <w:rFonts w:ascii="Arial" w:hAnsi="Arial" w:cs="Arial"/>
          <w:sz w:val="24"/>
          <w:szCs w:val="24"/>
        </w:rPr>
        <w:t>, nesymetrie obličeje</w:t>
      </w:r>
      <w:r w:rsidR="00C54E81">
        <w:rPr>
          <w:rFonts w:ascii="Arial" w:hAnsi="Arial" w:cs="Arial"/>
          <w:sz w:val="24"/>
          <w:szCs w:val="24"/>
        </w:rPr>
        <w:t xml:space="preserve">), </w:t>
      </w:r>
      <w:r w:rsidR="0051215B">
        <w:rPr>
          <w:rFonts w:ascii="Arial" w:hAnsi="Arial" w:cs="Arial"/>
          <w:sz w:val="24"/>
          <w:szCs w:val="24"/>
        </w:rPr>
        <w:t>tetováže</w:t>
      </w:r>
      <w:r w:rsidR="00C54E81">
        <w:rPr>
          <w:rFonts w:ascii="Arial" w:hAnsi="Arial" w:cs="Arial"/>
          <w:sz w:val="24"/>
          <w:szCs w:val="24"/>
        </w:rPr>
        <w:t xml:space="preserve"> na pokožce</w:t>
      </w:r>
      <w:r w:rsidR="009E6CAA">
        <w:rPr>
          <w:rFonts w:ascii="Arial" w:hAnsi="Arial" w:cs="Arial"/>
          <w:sz w:val="24"/>
          <w:szCs w:val="24"/>
        </w:rPr>
        <w:t xml:space="preserve"> těla</w:t>
      </w:r>
      <w:r w:rsidR="0051215B">
        <w:rPr>
          <w:rFonts w:ascii="Arial" w:hAnsi="Arial" w:cs="Arial"/>
          <w:sz w:val="24"/>
          <w:szCs w:val="24"/>
        </w:rPr>
        <w:t>,</w:t>
      </w:r>
      <w:r w:rsidR="00F50EDB">
        <w:rPr>
          <w:rFonts w:ascii="Arial" w:hAnsi="Arial" w:cs="Arial"/>
          <w:sz w:val="24"/>
          <w:szCs w:val="24"/>
        </w:rPr>
        <w:t xml:space="preserve"> skarifikace, branding,</w:t>
      </w:r>
      <w:r w:rsidR="0051215B">
        <w:rPr>
          <w:rFonts w:ascii="Arial" w:hAnsi="Arial" w:cs="Arial"/>
          <w:sz w:val="24"/>
          <w:szCs w:val="24"/>
        </w:rPr>
        <w:t xml:space="preserve"> </w:t>
      </w:r>
      <w:r w:rsidR="00C54E81">
        <w:rPr>
          <w:rFonts w:ascii="Arial" w:hAnsi="Arial" w:cs="Arial"/>
          <w:sz w:val="24"/>
          <w:szCs w:val="24"/>
        </w:rPr>
        <w:t>piercing</w:t>
      </w:r>
      <w:r w:rsidR="009E6CAA">
        <w:rPr>
          <w:rFonts w:ascii="Arial" w:hAnsi="Arial" w:cs="Arial"/>
          <w:sz w:val="24"/>
          <w:szCs w:val="24"/>
        </w:rPr>
        <w:t xml:space="preserve"> a jiné </w:t>
      </w:r>
      <w:r w:rsidR="009E6CAA">
        <w:rPr>
          <w:rFonts w:ascii="Arial" w:hAnsi="Arial" w:cs="Arial"/>
          <w:sz w:val="24"/>
          <w:szCs w:val="24"/>
        </w:rPr>
        <w:lastRenderedPageBreak/>
        <w:t xml:space="preserve">předměty </w:t>
      </w:r>
      <w:r w:rsidR="00B3466B">
        <w:rPr>
          <w:rFonts w:ascii="Arial" w:hAnsi="Arial" w:cs="Arial"/>
          <w:sz w:val="24"/>
          <w:szCs w:val="24"/>
        </w:rPr>
        <w:t>na</w:t>
      </w:r>
      <w:r w:rsidR="009E6CAA">
        <w:rPr>
          <w:rFonts w:ascii="Arial" w:hAnsi="Arial" w:cs="Arial"/>
          <w:sz w:val="24"/>
          <w:szCs w:val="24"/>
        </w:rPr>
        <w:t> pokožce nebo v podkoží</w:t>
      </w:r>
      <w:r w:rsidR="00C54E81">
        <w:rPr>
          <w:rFonts w:ascii="Arial" w:hAnsi="Arial" w:cs="Arial"/>
          <w:sz w:val="24"/>
          <w:szCs w:val="24"/>
        </w:rPr>
        <w:t xml:space="preserve">, </w:t>
      </w:r>
      <w:r w:rsidR="00A76382">
        <w:rPr>
          <w:rFonts w:ascii="Arial" w:hAnsi="Arial" w:cs="Arial"/>
          <w:sz w:val="24"/>
          <w:szCs w:val="24"/>
        </w:rPr>
        <w:t xml:space="preserve">jiné </w:t>
      </w:r>
      <w:r w:rsidR="009E3E3D">
        <w:rPr>
          <w:rFonts w:ascii="Arial" w:hAnsi="Arial" w:cs="Arial"/>
          <w:sz w:val="24"/>
          <w:szCs w:val="24"/>
        </w:rPr>
        <w:t>ko</w:t>
      </w:r>
      <w:r w:rsidR="00A76382">
        <w:rPr>
          <w:rFonts w:ascii="Arial" w:hAnsi="Arial" w:cs="Arial"/>
          <w:sz w:val="24"/>
          <w:szCs w:val="24"/>
        </w:rPr>
        <w:t xml:space="preserve">žní změny, </w:t>
      </w:r>
      <w:r w:rsidR="00C54E81">
        <w:rPr>
          <w:rFonts w:ascii="Arial" w:hAnsi="Arial" w:cs="Arial"/>
          <w:sz w:val="24"/>
          <w:szCs w:val="24"/>
        </w:rPr>
        <w:t xml:space="preserve">pooperační </w:t>
      </w:r>
      <w:r w:rsidR="009E6CAA">
        <w:rPr>
          <w:rFonts w:ascii="Arial" w:hAnsi="Arial" w:cs="Arial"/>
          <w:sz w:val="24"/>
          <w:szCs w:val="24"/>
        </w:rPr>
        <w:t>a</w:t>
      </w:r>
      <w:r w:rsidR="00C54E81">
        <w:rPr>
          <w:rFonts w:ascii="Arial" w:hAnsi="Arial" w:cs="Arial"/>
          <w:sz w:val="24"/>
          <w:szCs w:val="24"/>
        </w:rPr>
        <w:t xml:space="preserve"> poúrazové </w:t>
      </w:r>
      <w:r w:rsidR="0051215B">
        <w:rPr>
          <w:rFonts w:ascii="Arial" w:hAnsi="Arial" w:cs="Arial"/>
          <w:sz w:val="24"/>
          <w:szCs w:val="24"/>
        </w:rPr>
        <w:t>jizvy, malformace</w:t>
      </w:r>
      <w:r w:rsidR="009E6CAA">
        <w:rPr>
          <w:rFonts w:ascii="Arial" w:hAnsi="Arial" w:cs="Arial"/>
          <w:sz w:val="24"/>
          <w:szCs w:val="24"/>
        </w:rPr>
        <w:t>, tvar a charakteristika prstů ruk</w:t>
      </w:r>
      <w:r w:rsidR="00693D66">
        <w:rPr>
          <w:rFonts w:ascii="Arial" w:hAnsi="Arial" w:cs="Arial"/>
          <w:sz w:val="24"/>
          <w:szCs w:val="24"/>
        </w:rPr>
        <w:t>ou</w:t>
      </w:r>
      <w:r w:rsidR="009E6CAA">
        <w:rPr>
          <w:rFonts w:ascii="Arial" w:hAnsi="Arial" w:cs="Arial"/>
          <w:sz w:val="24"/>
          <w:szCs w:val="24"/>
        </w:rPr>
        <w:t xml:space="preserve">, </w:t>
      </w:r>
      <w:r w:rsidR="00693D66">
        <w:rPr>
          <w:rFonts w:ascii="Arial" w:hAnsi="Arial" w:cs="Arial"/>
          <w:sz w:val="24"/>
          <w:szCs w:val="24"/>
        </w:rPr>
        <w:t xml:space="preserve">pohlavní orgány, sekundární pohlavní znaky, </w:t>
      </w:r>
      <w:r w:rsidR="009E6CAA">
        <w:rPr>
          <w:rFonts w:ascii="Arial" w:hAnsi="Arial" w:cs="Arial"/>
          <w:sz w:val="24"/>
          <w:szCs w:val="24"/>
        </w:rPr>
        <w:t>délka chodidla</w:t>
      </w:r>
      <w:r w:rsidR="0067532C">
        <w:rPr>
          <w:rFonts w:ascii="Arial" w:hAnsi="Arial" w:cs="Arial"/>
          <w:sz w:val="24"/>
          <w:szCs w:val="24"/>
        </w:rPr>
        <w:t xml:space="preserve"> a</w:t>
      </w:r>
      <w:r w:rsidR="00693D66">
        <w:rPr>
          <w:rFonts w:ascii="Arial" w:hAnsi="Arial" w:cs="Arial"/>
          <w:sz w:val="24"/>
          <w:szCs w:val="24"/>
        </w:rPr>
        <w:t>pod.</w:t>
      </w:r>
      <w:r w:rsidR="0051215B">
        <w:rPr>
          <w:rFonts w:ascii="Arial" w:hAnsi="Arial" w:cs="Arial"/>
          <w:sz w:val="24"/>
          <w:szCs w:val="24"/>
        </w:rPr>
        <w:t>)</w:t>
      </w:r>
      <w:r w:rsidR="00C54E81">
        <w:rPr>
          <w:rFonts w:ascii="Arial" w:hAnsi="Arial" w:cs="Arial"/>
          <w:sz w:val="24"/>
          <w:szCs w:val="24"/>
        </w:rPr>
        <w:t>;</w:t>
      </w:r>
      <w:r w:rsidR="0051215B">
        <w:rPr>
          <w:rFonts w:ascii="Arial" w:hAnsi="Arial" w:cs="Arial"/>
          <w:sz w:val="24"/>
          <w:szCs w:val="24"/>
        </w:rPr>
        <w:t xml:space="preserve"> </w:t>
      </w:r>
      <w:r w:rsidR="002173DE">
        <w:rPr>
          <w:rFonts w:ascii="Arial" w:hAnsi="Arial" w:cs="Arial"/>
          <w:sz w:val="24"/>
          <w:szCs w:val="24"/>
        </w:rPr>
        <w:t xml:space="preserve">tetováže a viditelné charakteristické změny na těle </w:t>
      </w:r>
      <w:r w:rsidR="0051215B">
        <w:rPr>
          <w:rFonts w:ascii="Arial" w:hAnsi="Arial" w:cs="Arial"/>
          <w:sz w:val="24"/>
          <w:szCs w:val="24"/>
        </w:rPr>
        <w:t>je vhodné obrazově zadokumentovat;</w:t>
      </w:r>
    </w:p>
    <w:p w14:paraId="40D5C790" w14:textId="513A8A9E" w:rsidR="00693D66" w:rsidRDefault="00693D66" w:rsidP="00D9142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rámci pitvy je provedena prohlídka dutiny ústní a </w:t>
      </w:r>
      <w:r w:rsidRPr="008C6370">
        <w:rPr>
          <w:rFonts w:ascii="Arial" w:hAnsi="Arial" w:cs="Arial"/>
          <w:b/>
          <w:bCs/>
          <w:sz w:val="24"/>
          <w:szCs w:val="24"/>
        </w:rPr>
        <w:t>popis chrupu</w:t>
      </w:r>
      <w:r w:rsidR="00A30152">
        <w:rPr>
          <w:rFonts w:ascii="Arial" w:hAnsi="Arial" w:cs="Arial"/>
          <w:b/>
          <w:bCs/>
          <w:sz w:val="24"/>
          <w:szCs w:val="24"/>
        </w:rPr>
        <w:t xml:space="preserve">, </w:t>
      </w:r>
      <w:r w:rsidR="00A30152" w:rsidRPr="00A30152">
        <w:rPr>
          <w:rFonts w:ascii="Arial" w:hAnsi="Arial" w:cs="Arial"/>
          <w:bCs/>
          <w:sz w:val="24"/>
          <w:szCs w:val="24"/>
        </w:rPr>
        <w:t>včetně</w:t>
      </w:r>
      <w:r w:rsidR="00A30152">
        <w:rPr>
          <w:rFonts w:ascii="Arial" w:hAnsi="Arial" w:cs="Arial"/>
          <w:b/>
          <w:bCs/>
          <w:sz w:val="24"/>
          <w:szCs w:val="24"/>
        </w:rPr>
        <w:t xml:space="preserve"> </w:t>
      </w:r>
      <w:r w:rsidR="00A30152" w:rsidRPr="00A30152">
        <w:rPr>
          <w:rFonts w:ascii="Arial" w:hAnsi="Arial" w:cs="Arial"/>
          <w:bCs/>
          <w:sz w:val="24"/>
          <w:szCs w:val="24"/>
        </w:rPr>
        <w:t>fotodokumentace</w:t>
      </w:r>
      <w:r w:rsidR="008C6370">
        <w:rPr>
          <w:rFonts w:ascii="Arial" w:hAnsi="Arial" w:cs="Arial"/>
          <w:sz w:val="24"/>
          <w:szCs w:val="24"/>
        </w:rPr>
        <w:t xml:space="preserve">. Popis chrupu je vhodné doplnit zobrazovacím vyšetřením (CT, </w:t>
      </w:r>
      <w:r w:rsidR="00A30152">
        <w:rPr>
          <w:rFonts w:ascii="Arial" w:hAnsi="Arial" w:cs="Arial"/>
          <w:sz w:val="24"/>
          <w:szCs w:val="24"/>
        </w:rPr>
        <w:t xml:space="preserve">v případě potřeby </w:t>
      </w:r>
      <w:r w:rsidR="008C6370">
        <w:rPr>
          <w:rFonts w:ascii="Arial" w:hAnsi="Arial" w:cs="Arial"/>
          <w:sz w:val="24"/>
          <w:szCs w:val="24"/>
        </w:rPr>
        <w:t>RTG)</w:t>
      </w:r>
      <w:r w:rsidR="00126FDA">
        <w:rPr>
          <w:rFonts w:ascii="Arial" w:hAnsi="Arial" w:cs="Arial"/>
          <w:sz w:val="24"/>
          <w:szCs w:val="24"/>
        </w:rPr>
        <w:t>;</w:t>
      </w:r>
      <w:r w:rsidR="008C637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455D67E" w14:textId="13353F48" w:rsidR="005A308D" w:rsidRDefault="0051215B" w:rsidP="00D9142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Popis </w:t>
      </w:r>
      <w:r w:rsidR="00B958BB">
        <w:rPr>
          <w:rFonts w:ascii="Arial" w:hAnsi="Arial" w:cs="Arial"/>
          <w:sz w:val="24"/>
          <w:szCs w:val="24"/>
        </w:rPr>
        <w:t xml:space="preserve">objektivně </w:t>
      </w:r>
      <w:r w:rsidR="00825086">
        <w:rPr>
          <w:rFonts w:ascii="Arial" w:hAnsi="Arial" w:cs="Arial"/>
          <w:sz w:val="24"/>
          <w:szCs w:val="24"/>
        </w:rPr>
        <w:t xml:space="preserve">zjištěných a </w:t>
      </w:r>
      <w:r>
        <w:rPr>
          <w:rFonts w:ascii="Arial" w:hAnsi="Arial" w:cs="Arial"/>
          <w:sz w:val="24"/>
          <w:szCs w:val="24"/>
        </w:rPr>
        <w:t xml:space="preserve">důležitých individuálních změn při </w:t>
      </w:r>
      <w:r w:rsidRPr="008C6370">
        <w:rPr>
          <w:rFonts w:ascii="Arial" w:hAnsi="Arial" w:cs="Arial"/>
          <w:b/>
          <w:bCs/>
          <w:sz w:val="24"/>
          <w:szCs w:val="24"/>
        </w:rPr>
        <w:t>vnitřní prohlídce</w:t>
      </w:r>
      <w:r w:rsidR="00080EC4">
        <w:rPr>
          <w:rFonts w:ascii="Arial" w:hAnsi="Arial" w:cs="Arial"/>
          <w:sz w:val="24"/>
          <w:szCs w:val="24"/>
        </w:rPr>
        <w:t xml:space="preserve"> </w:t>
      </w:r>
      <w:r w:rsidR="006F58D4">
        <w:rPr>
          <w:rFonts w:ascii="Arial" w:hAnsi="Arial" w:cs="Arial"/>
          <w:sz w:val="24"/>
          <w:szCs w:val="24"/>
        </w:rPr>
        <w:t>–</w:t>
      </w:r>
      <w:r w:rsidR="00080EC4">
        <w:rPr>
          <w:rFonts w:ascii="Arial" w:hAnsi="Arial" w:cs="Arial"/>
          <w:sz w:val="24"/>
          <w:szCs w:val="24"/>
        </w:rPr>
        <w:t xml:space="preserve"> </w:t>
      </w:r>
      <w:r w:rsidR="006F58D4">
        <w:rPr>
          <w:rFonts w:ascii="Arial" w:hAnsi="Arial" w:cs="Arial"/>
          <w:sz w:val="24"/>
          <w:szCs w:val="24"/>
        </w:rPr>
        <w:t>detailně popsat známky po invazivních lékařských výkonech a zákrocích</w:t>
      </w:r>
      <w:r w:rsidR="00343D44">
        <w:rPr>
          <w:rFonts w:ascii="Arial" w:hAnsi="Arial" w:cs="Arial"/>
          <w:sz w:val="24"/>
          <w:szCs w:val="24"/>
        </w:rPr>
        <w:t>, implantabilních</w:t>
      </w:r>
      <w:r w:rsidR="00AF4AE5">
        <w:rPr>
          <w:rFonts w:ascii="Arial" w:hAnsi="Arial" w:cs="Arial"/>
          <w:sz w:val="24"/>
          <w:szCs w:val="24"/>
        </w:rPr>
        <w:t xml:space="preserve"> a osteosyntetických předmětech</w:t>
      </w:r>
      <w:r w:rsidR="00343D44">
        <w:rPr>
          <w:rFonts w:ascii="Arial" w:hAnsi="Arial" w:cs="Arial"/>
          <w:sz w:val="24"/>
          <w:szCs w:val="24"/>
        </w:rPr>
        <w:t xml:space="preserve"> </w:t>
      </w:r>
      <w:r w:rsidR="007D49F9">
        <w:rPr>
          <w:rFonts w:ascii="Arial" w:hAnsi="Arial" w:cs="Arial"/>
          <w:sz w:val="24"/>
          <w:szCs w:val="24"/>
        </w:rPr>
        <w:t>(např. kardiostimulátor, stenty, vnitřní osteosyntetický materiál</w:t>
      </w:r>
      <w:r w:rsidR="00AF4AE5">
        <w:rPr>
          <w:rFonts w:ascii="Arial" w:hAnsi="Arial" w:cs="Arial"/>
          <w:sz w:val="24"/>
          <w:szCs w:val="24"/>
        </w:rPr>
        <w:t>)</w:t>
      </w:r>
      <w:r w:rsidR="006F58D4">
        <w:rPr>
          <w:rFonts w:ascii="Arial" w:hAnsi="Arial" w:cs="Arial"/>
          <w:sz w:val="24"/>
          <w:szCs w:val="24"/>
        </w:rPr>
        <w:t xml:space="preserve">, </w:t>
      </w:r>
      <w:r w:rsidR="00080EC4">
        <w:rPr>
          <w:rFonts w:ascii="Arial" w:hAnsi="Arial" w:cs="Arial"/>
          <w:sz w:val="24"/>
          <w:szCs w:val="24"/>
        </w:rPr>
        <w:t>stavy po odnětí</w:t>
      </w:r>
      <w:r>
        <w:rPr>
          <w:rFonts w:ascii="Arial" w:hAnsi="Arial" w:cs="Arial"/>
          <w:sz w:val="24"/>
          <w:szCs w:val="24"/>
        </w:rPr>
        <w:t xml:space="preserve"> </w:t>
      </w:r>
      <w:r w:rsidR="00080EC4">
        <w:rPr>
          <w:rFonts w:ascii="Arial" w:hAnsi="Arial" w:cs="Arial"/>
          <w:sz w:val="24"/>
          <w:szCs w:val="24"/>
        </w:rPr>
        <w:t xml:space="preserve">orgánů nebo jejich částí, </w:t>
      </w:r>
      <w:r w:rsidR="002173DE">
        <w:rPr>
          <w:rFonts w:ascii="Arial" w:hAnsi="Arial" w:cs="Arial"/>
          <w:sz w:val="24"/>
          <w:szCs w:val="24"/>
        </w:rPr>
        <w:t xml:space="preserve">zhojené zlomeniny, </w:t>
      </w:r>
      <w:r w:rsidR="00080EC4">
        <w:rPr>
          <w:rFonts w:ascii="Arial" w:hAnsi="Arial" w:cs="Arial"/>
          <w:sz w:val="24"/>
          <w:szCs w:val="24"/>
        </w:rPr>
        <w:t>anomálie orgánů apod. V případě, že implantovaný nebo vložený materiál obsahuje individuální označení (druh, výrobní číslo), je nutné jej zaznamenat v písemné i obrazové podobě, případně jej vyjmout a uchovat</w:t>
      </w:r>
      <w:r w:rsidR="005A308D">
        <w:rPr>
          <w:rFonts w:ascii="Arial" w:hAnsi="Arial" w:cs="Arial"/>
          <w:sz w:val="24"/>
          <w:szCs w:val="24"/>
        </w:rPr>
        <w:t xml:space="preserve"> (např. kardiostimulátor)</w:t>
      </w:r>
      <w:r w:rsidR="00080EC4">
        <w:rPr>
          <w:rFonts w:ascii="Arial" w:hAnsi="Arial" w:cs="Arial"/>
          <w:sz w:val="24"/>
          <w:szCs w:val="24"/>
        </w:rPr>
        <w:t>.</w:t>
      </w:r>
    </w:p>
    <w:p w14:paraId="0C82972C" w14:textId="6875AC36" w:rsidR="00F53237" w:rsidRDefault="00080EC4" w:rsidP="00126FDA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0000586" w14:textId="7BE852D3" w:rsidR="00997F41" w:rsidRPr="00997F41" w:rsidRDefault="00997F41" w:rsidP="00997F41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97F41">
        <w:rPr>
          <w:rFonts w:ascii="Arial" w:hAnsi="Arial" w:cs="Arial"/>
          <w:b/>
          <w:sz w:val="24"/>
          <w:szCs w:val="24"/>
        </w:rPr>
        <w:t>Problematika identifikace mrtvě narozených plodů, novorozenců a malých dětí</w:t>
      </w:r>
    </w:p>
    <w:p w14:paraId="68A7A4D3" w14:textId="1D925086" w:rsidR="00997F41" w:rsidRPr="00997F41" w:rsidRDefault="00997F41" w:rsidP="00997F41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Jedná se o specifické úkony na těle zemřelých osob </w:t>
      </w:r>
      <w:r w:rsidR="00546DA0">
        <w:rPr>
          <w:rFonts w:ascii="Arial" w:hAnsi="Arial" w:cs="Arial"/>
          <w:sz w:val="24"/>
          <w:szCs w:val="24"/>
        </w:rPr>
        <w:t>velmi</w:t>
      </w:r>
      <w:r>
        <w:rPr>
          <w:rFonts w:ascii="Arial" w:hAnsi="Arial" w:cs="Arial"/>
          <w:sz w:val="24"/>
          <w:szCs w:val="24"/>
        </w:rPr>
        <w:t xml:space="preserve"> nízkého věku, které jsou / budou řešeny v příslušném apendixu k SOP pitva.  </w:t>
      </w:r>
    </w:p>
    <w:p w14:paraId="2EFDE76A" w14:textId="0CDCC51D" w:rsidR="00F53237" w:rsidRDefault="00080EC4" w:rsidP="00F53237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27329A" w14:textId="2786F561" w:rsidR="00D91429" w:rsidRPr="00F53237" w:rsidRDefault="00F53237" w:rsidP="00F5323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F53237">
        <w:rPr>
          <w:rFonts w:ascii="Arial" w:hAnsi="Arial" w:cs="Arial"/>
          <w:b/>
          <w:sz w:val="24"/>
          <w:szCs w:val="24"/>
        </w:rPr>
        <w:t>Problematika identifikace zemřelých osob u pokročilých hnilobných změn, kosterních ostatků a těl mutilovaných</w:t>
      </w:r>
    </w:p>
    <w:p w14:paraId="1CE4C2AC" w14:textId="6E07D73B" w:rsidR="0095413D" w:rsidRDefault="00B67EB3" w:rsidP="002173DE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Pr="0095413D">
        <w:rPr>
          <w:rFonts w:ascii="Arial" w:hAnsi="Arial" w:cs="Arial"/>
          <w:b/>
          <w:bCs/>
          <w:sz w:val="24"/>
          <w:szCs w:val="24"/>
        </w:rPr>
        <w:t>pozdních posmrtných změn</w:t>
      </w:r>
      <w:r>
        <w:rPr>
          <w:rFonts w:ascii="Arial" w:hAnsi="Arial" w:cs="Arial"/>
          <w:sz w:val="24"/>
          <w:szCs w:val="24"/>
        </w:rPr>
        <w:t xml:space="preserve"> je často obtížné hodnotit některé </w:t>
      </w:r>
      <w:r w:rsidR="00693D66">
        <w:rPr>
          <w:rFonts w:ascii="Arial" w:hAnsi="Arial" w:cs="Arial"/>
          <w:sz w:val="24"/>
          <w:szCs w:val="24"/>
        </w:rPr>
        <w:t>znaky, jako je</w:t>
      </w:r>
      <w:r w:rsidR="008C6370">
        <w:rPr>
          <w:rFonts w:ascii="Arial" w:hAnsi="Arial" w:cs="Arial"/>
          <w:sz w:val="24"/>
          <w:szCs w:val="24"/>
        </w:rPr>
        <w:t xml:space="preserve"> například </w:t>
      </w:r>
      <w:r w:rsidR="00693D66">
        <w:rPr>
          <w:rFonts w:ascii="Arial" w:hAnsi="Arial" w:cs="Arial"/>
          <w:sz w:val="24"/>
          <w:szCs w:val="24"/>
        </w:rPr>
        <w:t>hmotnost těla, barva očních duhovek</w:t>
      </w:r>
      <w:r w:rsidR="008C6370">
        <w:rPr>
          <w:rFonts w:ascii="Arial" w:hAnsi="Arial" w:cs="Arial"/>
          <w:sz w:val="24"/>
          <w:szCs w:val="24"/>
        </w:rPr>
        <w:t xml:space="preserve"> a další. </w:t>
      </w:r>
      <w:r w:rsidR="0095413D">
        <w:rPr>
          <w:rFonts w:ascii="Arial" w:hAnsi="Arial" w:cs="Arial"/>
          <w:sz w:val="24"/>
          <w:szCs w:val="24"/>
        </w:rPr>
        <w:t>V těchto případech je potřebné všechny tyto údaje uvést v kontextu objektivního zjištění (pozorování) a stupně pozdních posmrtných změn.</w:t>
      </w:r>
    </w:p>
    <w:p w14:paraId="02451005" w14:textId="77777777" w:rsidR="0095413D" w:rsidRDefault="0095413D" w:rsidP="0095413D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380CCD9E" w14:textId="1A9F23D6" w:rsidR="0095413D" w:rsidRDefault="0095413D" w:rsidP="0095413D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 </w:t>
      </w:r>
      <w:r w:rsidR="0086081F">
        <w:rPr>
          <w:rFonts w:ascii="Arial" w:hAnsi="Arial" w:cs="Arial"/>
          <w:sz w:val="24"/>
          <w:szCs w:val="24"/>
        </w:rPr>
        <w:t xml:space="preserve">soudní </w:t>
      </w:r>
      <w:r>
        <w:rPr>
          <w:rFonts w:ascii="Arial" w:hAnsi="Arial" w:cs="Arial"/>
          <w:sz w:val="24"/>
          <w:szCs w:val="24"/>
        </w:rPr>
        <w:t xml:space="preserve">pitvě  </w:t>
      </w:r>
      <w:r w:rsidR="00365D8A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e </w:t>
      </w:r>
      <w:r w:rsidR="0086081F">
        <w:rPr>
          <w:rFonts w:ascii="Arial" w:hAnsi="Arial" w:cs="Arial"/>
          <w:sz w:val="24"/>
          <w:szCs w:val="24"/>
        </w:rPr>
        <w:t>na žádost policejního orgánu</w:t>
      </w:r>
      <w:r w:rsidR="0086081F" w:rsidDel="008608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provede</w:t>
      </w:r>
      <w:r w:rsidR="00365D8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odběr biologického materiálu ke genetickému vyšetření. </w:t>
      </w:r>
      <w:r w:rsidR="0086081F">
        <w:rPr>
          <w:rFonts w:ascii="Arial" w:hAnsi="Arial" w:cs="Arial"/>
          <w:sz w:val="24"/>
          <w:szCs w:val="24"/>
        </w:rPr>
        <w:t>Odběr a u</w:t>
      </w:r>
      <w:r>
        <w:rPr>
          <w:rFonts w:ascii="Arial" w:hAnsi="Arial" w:cs="Arial"/>
          <w:sz w:val="24"/>
          <w:szCs w:val="24"/>
        </w:rPr>
        <w:t xml:space="preserve">chování </w:t>
      </w:r>
      <w:r w:rsidR="0000312E">
        <w:rPr>
          <w:rFonts w:ascii="Arial" w:hAnsi="Arial" w:cs="Arial"/>
          <w:sz w:val="24"/>
          <w:szCs w:val="24"/>
        </w:rPr>
        <w:t xml:space="preserve">tohoto </w:t>
      </w:r>
      <w:r>
        <w:rPr>
          <w:rFonts w:ascii="Arial" w:hAnsi="Arial" w:cs="Arial"/>
          <w:sz w:val="24"/>
          <w:szCs w:val="24"/>
        </w:rPr>
        <w:t xml:space="preserve">materiálu se řídí AP-SOP-003. </w:t>
      </w:r>
    </w:p>
    <w:p w14:paraId="041A9D5E" w14:textId="756A41A9" w:rsidR="00B67EB3" w:rsidRDefault="00B67EB3" w:rsidP="0095413D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47B2B1A4" w14:textId="67778DB0" w:rsidR="00F53237" w:rsidRPr="0095413D" w:rsidRDefault="0095413D" w:rsidP="002173DE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5413D">
        <w:rPr>
          <w:rFonts w:ascii="Arial" w:hAnsi="Arial" w:cs="Arial"/>
          <w:b/>
          <w:bCs/>
          <w:sz w:val="24"/>
          <w:szCs w:val="24"/>
        </w:rPr>
        <w:t xml:space="preserve">Mumifikace a adipocire </w:t>
      </w:r>
      <w:r w:rsidR="00B67EB3" w:rsidRPr="0095413D">
        <w:rPr>
          <w:rFonts w:ascii="Arial" w:hAnsi="Arial" w:cs="Arial"/>
          <w:b/>
          <w:bCs/>
          <w:sz w:val="24"/>
          <w:szCs w:val="24"/>
        </w:rPr>
        <w:t xml:space="preserve">těla </w:t>
      </w:r>
    </w:p>
    <w:p w14:paraId="1A1A32B1" w14:textId="02AF41DA" w:rsidR="0095413D" w:rsidRDefault="0095413D" w:rsidP="00B67EB3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Pitva těla zemřelého u pokročilé mumifikace a pokročilého adipocire je obvykle obtížná. </w:t>
      </w:r>
      <w:r w:rsidR="00997F41">
        <w:rPr>
          <w:rFonts w:ascii="Arial" w:hAnsi="Arial" w:cs="Arial"/>
          <w:sz w:val="24"/>
          <w:szCs w:val="24"/>
        </w:rPr>
        <w:t>Pro účely identifikace v</w:t>
      </w:r>
      <w:r>
        <w:rPr>
          <w:rFonts w:ascii="Arial" w:hAnsi="Arial" w:cs="Arial"/>
          <w:sz w:val="24"/>
          <w:szCs w:val="24"/>
        </w:rPr>
        <w:t xml:space="preserve"> těchto případech </w:t>
      </w:r>
      <w:r w:rsidR="004113CE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e </w:t>
      </w:r>
      <w:r w:rsidR="0082061B">
        <w:rPr>
          <w:rFonts w:ascii="Arial" w:hAnsi="Arial" w:cs="Arial"/>
          <w:sz w:val="24"/>
          <w:szCs w:val="24"/>
        </w:rPr>
        <w:t>vhodné</w:t>
      </w:r>
      <w:r>
        <w:rPr>
          <w:rFonts w:ascii="Arial" w:hAnsi="Arial" w:cs="Arial"/>
          <w:sz w:val="24"/>
          <w:szCs w:val="24"/>
        </w:rPr>
        <w:t xml:space="preserve"> indik</w:t>
      </w:r>
      <w:r w:rsidR="004113CE">
        <w:rPr>
          <w:rFonts w:ascii="Arial" w:hAnsi="Arial" w:cs="Arial"/>
          <w:sz w:val="24"/>
          <w:szCs w:val="24"/>
        </w:rPr>
        <w:t>ov</w:t>
      </w:r>
      <w:r w:rsidR="0082061B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zobrazovací vyšetření (pmCT, RTG)</w:t>
      </w:r>
      <w:r w:rsidR="0086081F">
        <w:rPr>
          <w:rFonts w:ascii="Arial" w:hAnsi="Arial" w:cs="Arial"/>
          <w:sz w:val="24"/>
          <w:szCs w:val="24"/>
        </w:rPr>
        <w:t xml:space="preserve">. Podle požadavku policejního orgánu je </w:t>
      </w:r>
      <w:r>
        <w:rPr>
          <w:rFonts w:ascii="Arial" w:hAnsi="Arial" w:cs="Arial"/>
          <w:sz w:val="24"/>
          <w:szCs w:val="24"/>
        </w:rPr>
        <w:t>provede</w:t>
      </w:r>
      <w:r w:rsidR="004113C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odběr vhodného vzorku ke genetickému vyšetření. </w:t>
      </w:r>
      <w:r w:rsidR="0086081F">
        <w:rPr>
          <w:rFonts w:ascii="Arial" w:hAnsi="Arial" w:cs="Arial"/>
          <w:sz w:val="24"/>
          <w:szCs w:val="24"/>
        </w:rPr>
        <w:t>Při pitvě je d</w:t>
      </w:r>
      <w:r>
        <w:rPr>
          <w:rFonts w:ascii="Arial" w:hAnsi="Arial" w:cs="Arial"/>
          <w:sz w:val="24"/>
          <w:szCs w:val="24"/>
        </w:rPr>
        <w:t xml:space="preserve">ůležitý podrobný popis chrupu.   </w:t>
      </w:r>
    </w:p>
    <w:p w14:paraId="4C634EFA" w14:textId="77777777" w:rsidR="0095413D" w:rsidRDefault="0095413D" w:rsidP="00B67EB3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5E74B1DF" w14:textId="536A3735" w:rsidR="0095413D" w:rsidRPr="004113CE" w:rsidRDefault="004113CE" w:rsidP="0095413D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113CE">
        <w:rPr>
          <w:rFonts w:ascii="Arial" w:hAnsi="Arial" w:cs="Arial"/>
          <w:b/>
          <w:bCs/>
          <w:sz w:val="24"/>
          <w:szCs w:val="24"/>
        </w:rPr>
        <w:t>T</w:t>
      </w:r>
      <w:r w:rsidR="0095413D" w:rsidRPr="004113CE">
        <w:rPr>
          <w:rFonts w:ascii="Arial" w:hAnsi="Arial" w:cs="Arial"/>
          <w:b/>
          <w:bCs/>
          <w:sz w:val="24"/>
          <w:szCs w:val="24"/>
        </w:rPr>
        <w:t xml:space="preserve">ermické </w:t>
      </w:r>
      <w:r w:rsidR="00F50EDB">
        <w:rPr>
          <w:rFonts w:ascii="Arial" w:hAnsi="Arial" w:cs="Arial"/>
          <w:b/>
          <w:bCs/>
          <w:sz w:val="24"/>
          <w:szCs w:val="24"/>
        </w:rPr>
        <w:t xml:space="preserve">a významné mechanické </w:t>
      </w:r>
      <w:r w:rsidR="0095413D" w:rsidRPr="004113CE">
        <w:rPr>
          <w:rFonts w:ascii="Arial" w:hAnsi="Arial" w:cs="Arial"/>
          <w:b/>
          <w:bCs/>
          <w:sz w:val="24"/>
          <w:szCs w:val="24"/>
        </w:rPr>
        <w:t>změny</w:t>
      </w:r>
      <w:r w:rsidR="00F50EDB">
        <w:rPr>
          <w:rFonts w:ascii="Arial" w:hAnsi="Arial" w:cs="Arial"/>
          <w:b/>
          <w:bCs/>
          <w:sz w:val="24"/>
          <w:szCs w:val="24"/>
        </w:rPr>
        <w:t xml:space="preserve"> těla</w:t>
      </w:r>
    </w:p>
    <w:p w14:paraId="0D43DCA4" w14:textId="605E7F3D" w:rsidR="00B67EB3" w:rsidRDefault="0095413D" w:rsidP="0095413D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případech výrazných termických změn</w:t>
      </w:r>
      <w:r w:rsidR="004113CE">
        <w:rPr>
          <w:rFonts w:ascii="Arial" w:hAnsi="Arial" w:cs="Arial"/>
          <w:sz w:val="24"/>
          <w:szCs w:val="24"/>
        </w:rPr>
        <w:t xml:space="preserve">, především popálenin IV. stupně na většině těla, je </w:t>
      </w:r>
      <w:r w:rsidR="00596460">
        <w:rPr>
          <w:rFonts w:ascii="Arial" w:hAnsi="Arial" w:cs="Arial"/>
          <w:sz w:val="24"/>
          <w:szCs w:val="24"/>
        </w:rPr>
        <w:t>vhodné</w:t>
      </w:r>
      <w:r w:rsidR="004113CE">
        <w:rPr>
          <w:rFonts w:ascii="Arial" w:hAnsi="Arial" w:cs="Arial"/>
          <w:sz w:val="24"/>
          <w:szCs w:val="24"/>
        </w:rPr>
        <w:t xml:space="preserve"> indikov</w:t>
      </w:r>
      <w:r w:rsidR="00596460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</w:t>
      </w:r>
      <w:r w:rsidR="004113CE">
        <w:rPr>
          <w:rFonts w:ascii="Arial" w:hAnsi="Arial" w:cs="Arial"/>
          <w:sz w:val="24"/>
          <w:szCs w:val="24"/>
        </w:rPr>
        <w:t>zobrazovací vyšetření (pmCT, RTG)</w:t>
      </w:r>
      <w:r w:rsidR="001C6849">
        <w:rPr>
          <w:rFonts w:ascii="Arial" w:hAnsi="Arial" w:cs="Arial"/>
          <w:sz w:val="24"/>
          <w:szCs w:val="24"/>
        </w:rPr>
        <w:t xml:space="preserve">. Dle </w:t>
      </w:r>
      <w:r w:rsidR="001C6849">
        <w:rPr>
          <w:rFonts w:ascii="Arial" w:hAnsi="Arial" w:cs="Arial"/>
          <w:sz w:val="24"/>
          <w:szCs w:val="24"/>
        </w:rPr>
        <w:lastRenderedPageBreak/>
        <w:t xml:space="preserve">požadavku policejního orgánu </w:t>
      </w:r>
      <w:r w:rsidR="004113CE">
        <w:rPr>
          <w:rFonts w:ascii="Arial" w:hAnsi="Arial" w:cs="Arial"/>
          <w:sz w:val="24"/>
          <w:szCs w:val="24"/>
        </w:rPr>
        <w:t xml:space="preserve">je proveden odběr vhodného vzorku ke genetickému vyšetření. Důležitý je podrobný popis chrupu. </w:t>
      </w:r>
      <w:r>
        <w:rPr>
          <w:rFonts w:ascii="Arial" w:hAnsi="Arial" w:cs="Arial"/>
          <w:sz w:val="24"/>
          <w:szCs w:val="24"/>
        </w:rPr>
        <w:t xml:space="preserve"> </w:t>
      </w:r>
      <w:r w:rsidRPr="0095413D">
        <w:rPr>
          <w:rFonts w:ascii="Arial" w:hAnsi="Arial" w:cs="Arial"/>
          <w:sz w:val="24"/>
          <w:szCs w:val="24"/>
        </w:rPr>
        <w:t xml:space="preserve"> </w:t>
      </w:r>
    </w:p>
    <w:p w14:paraId="281AE7DA" w14:textId="77777777" w:rsidR="00894FD9" w:rsidRDefault="00894FD9" w:rsidP="0095413D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31E68BCF" w14:textId="05EF0A40" w:rsidR="004113CE" w:rsidRPr="009E6E27" w:rsidRDefault="004113CE" w:rsidP="004113CE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E6E27">
        <w:rPr>
          <w:rFonts w:ascii="Arial" w:hAnsi="Arial" w:cs="Arial"/>
          <w:b/>
          <w:bCs/>
          <w:sz w:val="24"/>
          <w:szCs w:val="24"/>
        </w:rPr>
        <w:t>Kosterní nález</w:t>
      </w:r>
    </w:p>
    <w:p w14:paraId="08B7944C" w14:textId="200424BB" w:rsidR="009E6E27" w:rsidRDefault="009E6E27" w:rsidP="0095413D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 pitvě kosterních nálezů </w:t>
      </w:r>
      <w:r w:rsidR="00D714F7">
        <w:rPr>
          <w:rFonts w:ascii="Arial" w:hAnsi="Arial" w:cs="Arial"/>
          <w:sz w:val="24"/>
          <w:szCs w:val="24"/>
        </w:rPr>
        <w:t xml:space="preserve">a identifikace zemřelého </w:t>
      </w:r>
      <w:r>
        <w:rPr>
          <w:rFonts w:ascii="Arial" w:hAnsi="Arial" w:cs="Arial"/>
          <w:sz w:val="24"/>
          <w:szCs w:val="24"/>
        </w:rPr>
        <w:t xml:space="preserve">je vhodné spolupracovat s odborníky – antropology. </w:t>
      </w:r>
    </w:p>
    <w:p w14:paraId="1993B8C9" w14:textId="77777777" w:rsidR="009E6E27" w:rsidRDefault="009E6E27" w:rsidP="009E6E27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7010D61D" w14:textId="50F31C5B" w:rsidR="009E6E27" w:rsidRDefault="009E6E27" w:rsidP="009E6E27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 popisu kosterních ostatků jsou využívány antropometrické metody, především při popisu lebky, dlouhých kostí horních a dolních končetin a pánve.</w:t>
      </w:r>
    </w:p>
    <w:p w14:paraId="5325E6B7" w14:textId="77777777" w:rsidR="009E6E27" w:rsidRDefault="009E6E27" w:rsidP="0095413D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48E7EEAF" w14:textId="3256EB91" w:rsidR="009E6E27" w:rsidRDefault="009E6E27" w:rsidP="0095413D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Prvním úkolem při prohlídce kosterních ostatků je určit, zda se jedná o ostatky </w:t>
      </w:r>
      <w:r w:rsidR="001C6849">
        <w:rPr>
          <w:rFonts w:ascii="Arial" w:hAnsi="Arial" w:cs="Arial"/>
          <w:sz w:val="24"/>
          <w:szCs w:val="24"/>
        </w:rPr>
        <w:t xml:space="preserve">jedné nebo více osob </w:t>
      </w:r>
      <w:r>
        <w:rPr>
          <w:rFonts w:ascii="Arial" w:hAnsi="Arial" w:cs="Arial"/>
          <w:sz w:val="24"/>
          <w:szCs w:val="24"/>
        </w:rPr>
        <w:t>lidského původu. Poté je určován</w:t>
      </w:r>
      <w:r w:rsidR="00F1114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365D8A">
        <w:rPr>
          <w:rFonts w:ascii="Arial" w:hAnsi="Arial" w:cs="Arial"/>
          <w:sz w:val="24"/>
          <w:szCs w:val="24"/>
        </w:rPr>
        <w:t>orientačn</w:t>
      </w:r>
      <w:r w:rsidR="00F11148">
        <w:rPr>
          <w:rFonts w:ascii="Arial" w:hAnsi="Arial" w:cs="Arial"/>
          <w:sz w:val="24"/>
          <w:szCs w:val="24"/>
        </w:rPr>
        <w:t>ě</w:t>
      </w:r>
      <w:r w:rsidR="00365D8A">
        <w:rPr>
          <w:rFonts w:ascii="Arial" w:hAnsi="Arial" w:cs="Arial"/>
          <w:sz w:val="24"/>
          <w:szCs w:val="24"/>
        </w:rPr>
        <w:t xml:space="preserve"> </w:t>
      </w:r>
      <w:r w:rsidR="00F11148">
        <w:rPr>
          <w:rFonts w:ascii="Arial" w:hAnsi="Arial" w:cs="Arial"/>
          <w:sz w:val="24"/>
          <w:szCs w:val="24"/>
        </w:rPr>
        <w:t>stáří</w:t>
      </w:r>
      <w:r>
        <w:rPr>
          <w:rFonts w:ascii="Arial" w:hAnsi="Arial" w:cs="Arial"/>
          <w:sz w:val="24"/>
          <w:szCs w:val="24"/>
        </w:rPr>
        <w:t xml:space="preserve"> kosterních ostatků, především ve vztahu k hr</w:t>
      </w:r>
      <w:r w:rsidR="0089387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nici 20 let po smrti. Následně je nutné </w:t>
      </w:r>
      <w:r w:rsidR="00D714F7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znamenat markanty, které svědčí pro to, zda se jedná o ostatky mužské nebo ženské. Poté si všímáme charakteristik, ze kterých je možné dovodit </w:t>
      </w:r>
      <w:r w:rsidR="00F11148">
        <w:rPr>
          <w:rFonts w:ascii="Arial" w:hAnsi="Arial" w:cs="Arial"/>
          <w:sz w:val="24"/>
          <w:szCs w:val="24"/>
        </w:rPr>
        <w:t>věk</w:t>
      </w:r>
      <w:r>
        <w:rPr>
          <w:rFonts w:ascii="Arial" w:hAnsi="Arial" w:cs="Arial"/>
          <w:sz w:val="24"/>
          <w:szCs w:val="24"/>
        </w:rPr>
        <w:t xml:space="preserve"> jedince</w:t>
      </w:r>
      <w:r w:rsidR="00893874">
        <w:rPr>
          <w:rFonts w:ascii="Arial" w:hAnsi="Arial" w:cs="Arial"/>
          <w:sz w:val="24"/>
          <w:szCs w:val="24"/>
        </w:rPr>
        <w:t>, případně etnickou příslušnost</w:t>
      </w:r>
      <w:r>
        <w:rPr>
          <w:rFonts w:ascii="Arial" w:hAnsi="Arial" w:cs="Arial"/>
          <w:sz w:val="24"/>
          <w:szCs w:val="24"/>
        </w:rPr>
        <w:t xml:space="preserve">. Na základě antropometrických metod je stanovena </w:t>
      </w:r>
      <w:r w:rsidR="00893874">
        <w:rPr>
          <w:rFonts w:ascii="Arial" w:hAnsi="Arial" w:cs="Arial"/>
          <w:sz w:val="24"/>
          <w:szCs w:val="24"/>
        </w:rPr>
        <w:t xml:space="preserve">pravděpodobná výška jedince.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AC25820" w14:textId="02B2B5D2" w:rsidR="004113CE" w:rsidRDefault="009E6E27" w:rsidP="0095413D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52ACE058" w14:textId="3B41A95B" w:rsidR="004113CE" w:rsidRPr="004113CE" w:rsidRDefault="004113CE" w:rsidP="004113CE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113CE">
        <w:rPr>
          <w:rFonts w:ascii="Arial" w:hAnsi="Arial" w:cs="Arial"/>
          <w:b/>
          <w:bCs/>
          <w:sz w:val="24"/>
          <w:szCs w:val="24"/>
        </w:rPr>
        <w:t>Devastace těla</w:t>
      </w:r>
    </w:p>
    <w:p w14:paraId="1512CA5C" w14:textId="4BA79F14" w:rsidR="004113CE" w:rsidRDefault="004113CE" w:rsidP="00F53237">
      <w:pPr>
        <w:pStyle w:val="Odstavecseseznamem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výrazných devastačních změn těla, případně až separac</w:t>
      </w:r>
      <w:r w:rsidR="00D714F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tkání</w:t>
      </w:r>
      <w:r w:rsidR="00365D8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je nutné podrobně prohlédnout všechny dodané části těla. Jsou popsány</w:t>
      </w:r>
      <w:r w:rsidR="00A65EE8">
        <w:rPr>
          <w:rFonts w:ascii="Arial" w:hAnsi="Arial" w:cs="Arial"/>
          <w:sz w:val="24"/>
          <w:szCs w:val="24"/>
        </w:rPr>
        <w:t xml:space="preserve"> a zadokumentovány</w:t>
      </w:r>
      <w:r>
        <w:rPr>
          <w:rFonts w:ascii="Arial" w:hAnsi="Arial" w:cs="Arial"/>
          <w:sz w:val="24"/>
          <w:szCs w:val="24"/>
        </w:rPr>
        <w:t xml:space="preserve"> zejména části těla s pokrývkou vlasů, vousů a ochlupení, ušní boltce nebo zachova</w:t>
      </w:r>
      <w:r w:rsidR="00D714F7">
        <w:rPr>
          <w:rFonts w:ascii="Arial" w:hAnsi="Arial" w:cs="Arial"/>
          <w:sz w:val="24"/>
          <w:szCs w:val="24"/>
        </w:rPr>
        <w:t>né</w:t>
      </w:r>
      <w:r>
        <w:rPr>
          <w:rFonts w:ascii="Arial" w:hAnsi="Arial" w:cs="Arial"/>
          <w:sz w:val="24"/>
          <w:szCs w:val="24"/>
        </w:rPr>
        <w:t xml:space="preserve"> oční koule, tetová</w:t>
      </w:r>
      <w:r w:rsidR="00D714F7">
        <w:rPr>
          <w:rFonts w:ascii="Arial" w:hAnsi="Arial" w:cs="Arial"/>
          <w:sz w:val="24"/>
          <w:szCs w:val="24"/>
        </w:rPr>
        <w:t>že nebo jizvy</w:t>
      </w:r>
      <w:r>
        <w:rPr>
          <w:rFonts w:ascii="Arial" w:hAnsi="Arial" w:cs="Arial"/>
          <w:sz w:val="24"/>
          <w:szCs w:val="24"/>
        </w:rPr>
        <w:t xml:space="preserve"> na kůži, části pohlavních orgánů, prsty rukou (z nich je vhodné navrhnout policejnímu orgánu provedení daktyloskopického vyšetření) a části orgánů, ze kterých je možné zjistit staré poúrazové nebo pooperační změny či důležité chorobné změny.</w:t>
      </w:r>
    </w:p>
    <w:p w14:paraId="299E3B7B" w14:textId="1DA9C5B7" w:rsidR="00F53237" w:rsidRDefault="004113CE" w:rsidP="00F53237">
      <w:pPr>
        <w:pStyle w:val="Odstavecseseznamem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4EE83EAD" w14:textId="0FD9C217" w:rsidR="00F53237" w:rsidRPr="003506BF" w:rsidRDefault="00F53237" w:rsidP="00F5323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506BF">
        <w:rPr>
          <w:rFonts w:ascii="Arial" w:hAnsi="Arial" w:cs="Arial"/>
          <w:b/>
          <w:sz w:val="24"/>
          <w:szCs w:val="24"/>
        </w:rPr>
        <w:t xml:space="preserve">Problematika identifikace osob u hromadných </w:t>
      </w:r>
      <w:r w:rsidR="002173DE" w:rsidRPr="003506BF">
        <w:rPr>
          <w:rFonts w:ascii="Arial" w:hAnsi="Arial" w:cs="Arial"/>
          <w:b/>
          <w:sz w:val="24"/>
          <w:szCs w:val="24"/>
        </w:rPr>
        <w:t>neštěstích</w:t>
      </w:r>
    </w:p>
    <w:p w14:paraId="16C1FA07" w14:textId="2CD4C066" w:rsidR="003506BF" w:rsidRDefault="00F53237" w:rsidP="00F53237">
      <w:pPr>
        <w:pStyle w:val="Odstavecseseznamem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Identifikac</w:t>
      </w:r>
      <w:r w:rsidR="003506B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většího počtu zemř</w:t>
      </w:r>
      <w:r w:rsidR="00CF371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lých osob</w:t>
      </w:r>
      <w:r w:rsidR="003506BF">
        <w:rPr>
          <w:rFonts w:ascii="Arial" w:hAnsi="Arial" w:cs="Arial"/>
          <w:sz w:val="24"/>
          <w:szCs w:val="24"/>
        </w:rPr>
        <w:t xml:space="preserve"> a případné nasazení Disaster Victim Identification (DVI) týmu podléhá v praxi Pokynu policejního prezidenta č. 150/2016 o týmu DVI České republiky v platném znění. </w:t>
      </w:r>
      <w:r w:rsidR="00A76382">
        <w:rPr>
          <w:rStyle w:val="Znakapoznpodarou"/>
          <w:rFonts w:ascii="Arial" w:hAnsi="Arial" w:cs="Arial"/>
          <w:sz w:val="24"/>
          <w:szCs w:val="24"/>
        </w:rPr>
        <w:footnoteReference w:id="2"/>
      </w:r>
    </w:p>
    <w:p w14:paraId="141533DC" w14:textId="77777777" w:rsidR="003506BF" w:rsidRDefault="003506BF" w:rsidP="00F53237">
      <w:pPr>
        <w:pStyle w:val="Odstavecseseznamem"/>
        <w:ind w:left="737"/>
        <w:jc w:val="both"/>
        <w:rPr>
          <w:rFonts w:ascii="Arial" w:hAnsi="Arial" w:cs="Arial"/>
          <w:sz w:val="24"/>
          <w:szCs w:val="24"/>
        </w:rPr>
      </w:pPr>
    </w:p>
    <w:p w14:paraId="20845556" w14:textId="3F8DAEF8" w:rsidR="005F5DF2" w:rsidRDefault="003506BF" w:rsidP="00F53237">
      <w:pPr>
        <w:pStyle w:val="Odstavecseseznamem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Tým DVI má dle výše uvedeného Pokynu působnost na celém území České republiky a j</w:t>
      </w:r>
      <w:r w:rsidR="005F5DF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vždy nasazen v případě mimořádné události, při níž zemře více než 10 osob.</w:t>
      </w:r>
      <w:r>
        <w:rPr>
          <w:rStyle w:val="Znakapoznpodarou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</w:t>
      </w:r>
      <w:r w:rsidR="005F5DF2">
        <w:rPr>
          <w:rFonts w:ascii="Arial" w:hAnsi="Arial" w:cs="Arial"/>
          <w:sz w:val="24"/>
          <w:szCs w:val="24"/>
        </w:rPr>
        <w:t xml:space="preserve">V případech nižšího počtu obětí může být tým DVI nasazen na žádost ředitele místě příslušného krajského ředitelství policie. </w:t>
      </w:r>
    </w:p>
    <w:p w14:paraId="65683F20" w14:textId="77777777" w:rsidR="005F5DF2" w:rsidRDefault="005F5DF2" w:rsidP="00F53237">
      <w:pPr>
        <w:pStyle w:val="Odstavecseseznamem"/>
        <w:ind w:left="737"/>
        <w:jc w:val="both"/>
        <w:rPr>
          <w:rFonts w:ascii="Arial" w:hAnsi="Arial" w:cs="Arial"/>
          <w:sz w:val="24"/>
          <w:szCs w:val="24"/>
        </w:rPr>
      </w:pPr>
    </w:p>
    <w:p w14:paraId="3115C7C2" w14:textId="794D35D0" w:rsidR="00F53237" w:rsidRDefault="005F5DF2" w:rsidP="00F53237">
      <w:pPr>
        <w:pStyle w:val="Odstavecseseznamem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DVI tým má zpracované postupy pro činnost na místě události i v rámci prováděných pitev. Pro účely rychlé a kvalitně provedené identifikace obětí je žádoucí spolupráce soudních lékařů DVI týmu a poskytovatele v oboru soudního lékařství v daném regionu České republiky.</w:t>
      </w:r>
      <w:r w:rsidR="003506BF">
        <w:rPr>
          <w:rFonts w:ascii="Arial" w:hAnsi="Arial" w:cs="Arial"/>
          <w:sz w:val="24"/>
          <w:szCs w:val="24"/>
        </w:rPr>
        <w:t xml:space="preserve"> </w:t>
      </w:r>
      <w:r w:rsidR="00D131B2">
        <w:rPr>
          <w:rFonts w:ascii="Arial" w:hAnsi="Arial" w:cs="Arial"/>
          <w:sz w:val="24"/>
          <w:szCs w:val="24"/>
        </w:rPr>
        <w:t xml:space="preserve"> </w:t>
      </w:r>
    </w:p>
    <w:p w14:paraId="4901145D" w14:textId="77777777" w:rsidR="00F53237" w:rsidRPr="00F53237" w:rsidRDefault="00F53237" w:rsidP="00F53237">
      <w:pPr>
        <w:pStyle w:val="Odstavecseseznamem"/>
        <w:ind w:left="737"/>
        <w:jc w:val="both"/>
        <w:rPr>
          <w:rFonts w:ascii="Arial" w:hAnsi="Arial" w:cs="Arial"/>
          <w:sz w:val="24"/>
          <w:szCs w:val="24"/>
        </w:rPr>
      </w:pPr>
    </w:p>
    <w:p w14:paraId="73C75F05" w14:textId="60DFFF0D" w:rsidR="00F73623" w:rsidRPr="00894FD9" w:rsidRDefault="00567241" w:rsidP="00894FD9">
      <w:pPr>
        <w:jc w:val="both"/>
        <w:rPr>
          <w:rFonts w:ascii="Arial" w:hAnsi="Arial" w:cs="Arial"/>
          <w:i/>
          <w:sz w:val="20"/>
          <w:szCs w:val="20"/>
        </w:rPr>
      </w:pPr>
      <w:r w:rsidRPr="00725F6A">
        <w:rPr>
          <w:rFonts w:ascii="Arial" w:hAnsi="Arial" w:cs="Arial"/>
          <w:i/>
          <w:sz w:val="20"/>
          <w:szCs w:val="20"/>
        </w:rPr>
        <w:t>Schválil výbor České společnosti soudního lékařství a soudní toxikologie dne:</w:t>
      </w:r>
      <w:r w:rsidR="0011554C">
        <w:rPr>
          <w:rFonts w:ascii="Arial" w:hAnsi="Arial" w:cs="Arial"/>
          <w:i/>
          <w:sz w:val="20"/>
          <w:szCs w:val="20"/>
        </w:rPr>
        <w:t xml:space="preserve"> </w:t>
      </w:r>
      <w:r w:rsidR="005F1734">
        <w:rPr>
          <w:rFonts w:ascii="Arial" w:hAnsi="Arial" w:cs="Arial"/>
          <w:i/>
          <w:sz w:val="20"/>
          <w:szCs w:val="20"/>
        </w:rPr>
        <w:t>9</w:t>
      </w:r>
      <w:bookmarkStart w:id="0" w:name="_GoBack"/>
      <w:bookmarkEnd w:id="0"/>
      <w:r w:rsidR="0058724F" w:rsidRPr="006E4BAB">
        <w:rPr>
          <w:rFonts w:ascii="Arial" w:hAnsi="Arial" w:cs="Arial"/>
          <w:i/>
          <w:sz w:val="20"/>
          <w:szCs w:val="20"/>
        </w:rPr>
        <w:t>.</w:t>
      </w:r>
      <w:r w:rsidR="002C3582" w:rsidRPr="006E4BAB">
        <w:rPr>
          <w:rFonts w:ascii="Arial" w:hAnsi="Arial" w:cs="Arial"/>
          <w:i/>
          <w:sz w:val="20"/>
          <w:szCs w:val="20"/>
        </w:rPr>
        <w:t xml:space="preserve"> </w:t>
      </w:r>
      <w:r w:rsidR="006E4BAB" w:rsidRPr="006E4BAB">
        <w:rPr>
          <w:rFonts w:ascii="Arial" w:hAnsi="Arial" w:cs="Arial"/>
          <w:i/>
          <w:sz w:val="20"/>
          <w:szCs w:val="20"/>
        </w:rPr>
        <w:t>prosince</w:t>
      </w:r>
      <w:r w:rsidRPr="006E4BAB">
        <w:rPr>
          <w:rFonts w:ascii="Arial" w:hAnsi="Arial" w:cs="Arial"/>
          <w:i/>
          <w:sz w:val="20"/>
          <w:szCs w:val="20"/>
        </w:rPr>
        <w:t xml:space="preserve"> 202</w:t>
      </w:r>
      <w:r w:rsidR="00D0062E" w:rsidRPr="006E4BAB">
        <w:rPr>
          <w:rFonts w:ascii="Arial" w:hAnsi="Arial" w:cs="Arial"/>
          <w:i/>
          <w:sz w:val="20"/>
          <w:szCs w:val="20"/>
        </w:rPr>
        <w:t>5</w:t>
      </w:r>
    </w:p>
    <w:sectPr w:rsidR="00F73623" w:rsidRPr="00894FD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507D77" w16cex:dateUtc="2025-06-04T10:42:00Z"/>
  <w16cex:commentExtensible w16cex:durableId="3A8E4892" w16cex:dateUtc="2025-06-04T10:41:00Z"/>
  <w16cex:commentExtensible w16cex:durableId="2C175ED3" w16cex:dateUtc="2025-06-04T10:45:00Z"/>
  <w16cex:commentExtensible w16cex:durableId="0EA9EA62" w16cex:dateUtc="2025-06-04T10:48:00Z"/>
  <w16cex:commentExtensible w16cex:durableId="34DA7D10" w16cex:dateUtc="2025-06-04T10:51:00Z"/>
  <w16cex:commentExtensible w16cex:durableId="4766F824" w16cex:dateUtc="2025-06-04T10:52:00Z"/>
  <w16cex:commentExtensible w16cex:durableId="570BC97B" w16cex:dateUtc="2025-06-04T10:53:00Z"/>
  <w16cex:commentExtensible w16cex:durableId="57464215" w16cex:dateUtc="2025-06-04T10:54:00Z"/>
  <w16cex:commentExtensible w16cex:durableId="3C1B2388" w16cex:dateUtc="2025-06-04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691E2" w14:textId="77777777" w:rsidR="009A6D58" w:rsidRDefault="009A6D58" w:rsidP="00567241">
      <w:pPr>
        <w:spacing w:after="0" w:line="240" w:lineRule="auto"/>
      </w:pPr>
      <w:r>
        <w:separator/>
      </w:r>
    </w:p>
  </w:endnote>
  <w:endnote w:type="continuationSeparator" w:id="0">
    <w:p w14:paraId="0E37B65E" w14:textId="77777777" w:rsidR="009A6D58" w:rsidRDefault="009A6D58" w:rsidP="0056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FCBB6" w14:textId="6AB1A36E" w:rsidR="009A6D58" w:rsidRDefault="009A6D58" w:rsidP="00BF6EBC">
    <w:pPr>
      <w:pStyle w:val="Zpa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AP-SOP-0XX název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>
      <w:rPr>
        <w:rFonts w:asciiTheme="majorHAnsi" w:hAnsiTheme="majorHAnsi"/>
        <w:noProof/>
      </w:rPr>
      <w:fldChar w:fldCharType="begin"/>
    </w:r>
    <w:r>
      <w:rPr>
        <w:rFonts w:asciiTheme="majorHAnsi" w:hAnsiTheme="majorHAnsi"/>
        <w:noProof/>
      </w:rPr>
      <w:instrText xml:space="preserve"> PAGE   \* MERGEFORMAT </w:instrText>
    </w:r>
    <w:r>
      <w:rPr>
        <w:rFonts w:asciiTheme="majorHAnsi" w:hAnsiTheme="majorHAnsi"/>
        <w:noProof/>
      </w:rPr>
      <w:fldChar w:fldCharType="separate"/>
    </w:r>
    <w:r>
      <w:rPr>
        <w:rFonts w:asciiTheme="majorHAnsi" w:hAnsiTheme="majorHAnsi"/>
        <w:noProof/>
      </w:rPr>
      <w:t>6</w:t>
    </w:r>
    <w:r>
      <w:rPr>
        <w:rFonts w:asciiTheme="majorHAnsi" w:hAnsiTheme="majorHAnsi"/>
        <w:noProof/>
      </w:rPr>
      <w:fldChar w:fldCharType="end"/>
    </w:r>
  </w:p>
  <w:p w14:paraId="0D749CAE" w14:textId="77777777" w:rsidR="009A6D58" w:rsidRDefault="009A6D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E13B1" w14:textId="77777777" w:rsidR="009A6D58" w:rsidRDefault="009A6D58" w:rsidP="00567241">
      <w:pPr>
        <w:spacing w:after="0" w:line="240" w:lineRule="auto"/>
      </w:pPr>
      <w:r>
        <w:separator/>
      </w:r>
    </w:p>
  </w:footnote>
  <w:footnote w:type="continuationSeparator" w:id="0">
    <w:p w14:paraId="1A301EB9" w14:textId="77777777" w:rsidR="009A6D58" w:rsidRDefault="009A6D58" w:rsidP="00567241">
      <w:pPr>
        <w:spacing w:after="0" w:line="240" w:lineRule="auto"/>
      </w:pPr>
      <w:r>
        <w:continuationSeparator/>
      </w:r>
    </w:p>
  </w:footnote>
  <w:footnote w:id="1">
    <w:p w14:paraId="532FC75C" w14:textId="3B822B66" w:rsidR="009A6D58" w:rsidRDefault="009A6D58" w:rsidP="00025B08">
      <w:pPr>
        <w:jc w:val="both"/>
        <w:rPr>
          <w:rFonts w:ascii="Arial" w:hAnsi="Arial" w:cs="Arial"/>
          <w:sz w:val="24"/>
          <w:szCs w:val="24"/>
        </w:rPr>
      </w:pPr>
      <w:r>
        <w:rPr>
          <w:rStyle w:val="Znakapoznpodarou"/>
        </w:rPr>
        <w:footnoteRef/>
      </w:r>
      <w:r>
        <w:t xml:space="preserve"> Zdravotní pitva se provádí dle § 88 odst. 1c zák. č. 372/2011 Sb., o zdravotních službách, ke zjištění příčiny smrti a objasnění dalších ze zdravotního hlediska závažných okolností a mechanismu úmrtí. Její provedení určuje výhradně prohlížející lékař a dle § 39 zák. č. 48/1997 Sb., o veřejném zdravotním pojištění je hrazena u pojištěnců z prostředků veřejného zdravotního pojištění. Prostředkem k plnění zákonného úkolu Policie ČR identifikovat mrtvoly, části lidského těla nebo kosterní nález neznámé totožnosti dle § 68 odst. 1 zák č. 273/2008 Sb., o Policii České republiky, je postup nařízením pitvy dle § 115 odst. 1 trestního řádu</w:t>
      </w:r>
    </w:p>
    <w:p w14:paraId="6B000723" w14:textId="77777777" w:rsidR="009A6D58" w:rsidRDefault="009A6D58" w:rsidP="00025B08">
      <w:pPr>
        <w:pStyle w:val="Textpoznpodarou"/>
      </w:pPr>
    </w:p>
  </w:footnote>
  <w:footnote w:id="2">
    <w:p w14:paraId="78E5E237" w14:textId="7AEE4A11" w:rsidR="009A6D58" w:rsidRDefault="009A6D58">
      <w:pPr>
        <w:pStyle w:val="Textpoznpodarou"/>
      </w:pPr>
      <w:r>
        <w:rPr>
          <w:rStyle w:val="Znakapoznpodarou"/>
        </w:rPr>
        <w:footnoteRef/>
      </w:r>
      <w:r>
        <w:t xml:space="preserve"> Interní předpis Policie ČR, bližší informace Kriminalistický ústav ČR v Praze</w:t>
      </w:r>
    </w:p>
  </w:footnote>
  <w:footnote w:id="3">
    <w:p w14:paraId="25BA5CB3" w14:textId="70869891" w:rsidR="009A6D58" w:rsidRDefault="009A6D58">
      <w:pPr>
        <w:pStyle w:val="Textpoznpodarou"/>
      </w:pPr>
      <w:r>
        <w:rPr>
          <w:rStyle w:val="Znakapoznpodarou"/>
        </w:rPr>
        <w:footnoteRef/>
      </w:r>
      <w:r>
        <w:t xml:space="preserve"> § 87 zákona č. 372/2011 Sb., o zdravotních službách a podmínkách jejich poskytování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0B92"/>
    <w:multiLevelType w:val="hybridMultilevel"/>
    <w:tmpl w:val="BAF843AC"/>
    <w:lvl w:ilvl="0" w:tplc="090ED44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522F3"/>
    <w:multiLevelType w:val="multilevel"/>
    <w:tmpl w:val="6D2CC72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1F21AD"/>
    <w:multiLevelType w:val="hybridMultilevel"/>
    <w:tmpl w:val="BAF611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2E36E2"/>
    <w:multiLevelType w:val="multilevel"/>
    <w:tmpl w:val="FB102838"/>
    <w:styleLink w:val="Aktulnseznam1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429D353D"/>
    <w:multiLevelType w:val="hybridMultilevel"/>
    <w:tmpl w:val="A6661F02"/>
    <w:lvl w:ilvl="0" w:tplc="3DBA7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3B097B"/>
    <w:multiLevelType w:val="multilevel"/>
    <w:tmpl w:val="548CE1B0"/>
    <w:lvl w:ilvl="0">
      <w:start w:val="8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6F7B1459"/>
    <w:multiLevelType w:val="multilevel"/>
    <w:tmpl w:val="6D2CC722"/>
    <w:styleLink w:val="Aktulnseznam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8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41"/>
    <w:rsid w:val="0000312E"/>
    <w:rsid w:val="0000380B"/>
    <w:rsid w:val="00014675"/>
    <w:rsid w:val="00021AF2"/>
    <w:rsid w:val="00025B08"/>
    <w:rsid w:val="00031324"/>
    <w:rsid w:val="00047723"/>
    <w:rsid w:val="00052839"/>
    <w:rsid w:val="0005444F"/>
    <w:rsid w:val="000737EB"/>
    <w:rsid w:val="00080780"/>
    <w:rsid w:val="00080EC4"/>
    <w:rsid w:val="00090FA1"/>
    <w:rsid w:val="000A2224"/>
    <w:rsid w:val="000C3796"/>
    <w:rsid w:val="000D7038"/>
    <w:rsid w:val="000E2C9E"/>
    <w:rsid w:val="000F7157"/>
    <w:rsid w:val="000F7E87"/>
    <w:rsid w:val="001045D8"/>
    <w:rsid w:val="00104CE8"/>
    <w:rsid w:val="00106D0B"/>
    <w:rsid w:val="0011554C"/>
    <w:rsid w:val="00126FDA"/>
    <w:rsid w:val="0014735E"/>
    <w:rsid w:val="00194A75"/>
    <w:rsid w:val="001B3F27"/>
    <w:rsid w:val="001C6849"/>
    <w:rsid w:val="001D3721"/>
    <w:rsid w:val="001D57C9"/>
    <w:rsid w:val="001E7165"/>
    <w:rsid w:val="001F378E"/>
    <w:rsid w:val="0020620C"/>
    <w:rsid w:val="002173DE"/>
    <w:rsid w:val="00232AEE"/>
    <w:rsid w:val="00235781"/>
    <w:rsid w:val="00243CA1"/>
    <w:rsid w:val="00262E1A"/>
    <w:rsid w:val="00264B60"/>
    <w:rsid w:val="00286CF5"/>
    <w:rsid w:val="00291FBF"/>
    <w:rsid w:val="002A2E91"/>
    <w:rsid w:val="002C3582"/>
    <w:rsid w:val="00301638"/>
    <w:rsid w:val="003175B1"/>
    <w:rsid w:val="00343D44"/>
    <w:rsid w:val="00344267"/>
    <w:rsid w:val="003506BF"/>
    <w:rsid w:val="00365D8A"/>
    <w:rsid w:val="00374D5F"/>
    <w:rsid w:val="0039248A"/>
    <w:rsid w:val="003A1871"/>
    <w:rsid w:val="003B6985"/>
    <w:rsid w:val="003C166E"/>
    <w:rsid w:val="003C2460"/>
    <w:rsid w:val="003E3960"/>
    <w:rsid w:val="003E485F"/>
    <w:rsid w:val="00403507"/>
    <w:rsid w:val="00404B6C"/>
    <w:rsid w:val="004113CE"/>
    <w:rsid w:val="00425FA6"/>
    <w:rsid w:val="00426DF1"/>
    <w:rsid w:val="004301CA"/>
    <w:rsid w:val="004307BF"/>
    <w:rsid w:val="004407EE"/>
    <w:rsid w:val="00443E08"/>
    <w:rsid w:val="00446BA8"/>
    <w:rsid w:val="00447D7B"/>
    <w:rsid w:val="0045591A"/>
    <w:rsid w:val="00456671"/>
    <w:rsid w:val="00461826"/>
    <w:rsid w:val="00484CDA"/>
    <w:rsid w:val="004863F7"/>
    <w:rsid w:val="00486E5F"/>
    <w:rsid w:val="00487FEA"/>
    <w:rsid w:val="004965F4"/>
    <w:rsid w:val="004B1C6B"/>
    <w:rsid w:val="004B2816"/>
    <w:rsid w:val="004F4B57"/>
    <w:rsid w:val="005018EE"/>
    <w:rsid w:val="0051050F"/>
    <w:rsid w:val="0051215B"/>
    <w:rsid w:val="005318B0"/>
    <w:rsid w:val="00533CFF"/>
    <w:rsid w:val="00546DA0"/>
    <w:rsid w:val="0055246B"/>
    <w:rsid w:val="00553DB9"/>
    <w:rsid w:val="005625DE"/>
    <w:rsid w:val="00564C56"/>
    <w:rsid w:val="00567241"/>
    <w:rsid w:val="0058724F"/>
    <w:rsid w:val="00592E1B"/>
    <w:rsid w:val="00592F54"/>
    <w:rsid w:val="00596460"/>
    <w:rsid w:val="005A308D"/>
    <w:rsid w:val="005B338C"/>
    <w:rsid w:val="005E336B"/>
    <w:rsid w:val="005F1734"/>
    <w:rsid w:val="005F5DF2"/>
    <w:rsid w:val="006072F1"/>
    <w:rsid w:val="006342C0"/>
    <w:rsid w:val="00661D0C"/>
    <w:rsid w:val="00675150"/>
    <w:rsid w:val="0067532C"/>
    <w:rsid w:val="00685C3C"/>
    <w:rsid w:val="00693A78"/>
    <w:rsid w:val="00693D66"/>
    <w:rsid w:val="006B1EDC"/>
    <w:rsid w:val="006B4CAD"/>
    <w:rsid w:val="006C66BB"/>
    <w:rsid w:val="006E4BAB"/>
    <w:rsid w:val="006E7257"/>
    <w:rsid w:val="006F2C61"/>
    <w:rsid w:val="006F58D4"/>
    <w:rsid w:val="00725F6A"/>
    <w:rsid w:val="00744992"/>
    <w:rsid w:val="0074543F"/>
    <w:rsid w:val="007600D9"/>
    <w:rsid w:val="00765E79"/>
    <w:rsid w:val="00777A14"/>
    <w:rsid w:val="007840CD"/>
    <w:rsid w:val="007C5D40"/>
    <w:rsid w:val="007D49F9"/>
    <w:rsid w:val="007D697A"/>
    <w:rsid w:val="007F203D"/>
    <w:rsid w:val="007F3219"/>
    <w:rsid w:val="008160BB"/>
    <w:rsid w:val="0082061B"/>
    <w:rsid w:val="00823DEE"/>
    <w:rsid w:val="00825086"/>
    <w:rsid w:val="00833A17"/>
    <w:rsid w:val="0086081F"/>
    <w:rsid w:val="00867184"/>
    <w:rsid w:val="0088555A"/>
    <w:rsid w:val="00887DC8"/>
    <w:rsid w:val="00893874"/>
    <w:rsid w:val="00894FD9"/>
    <w:rsid w:val="008C6370"/>
    <w:rsid w:val="008D1C98"/>
    <w:rsid w:val="008E65CF"/>
    <w:rsid w:val="009032FB"/>
    <w:rsid w:val="00905F5F"/>
    <w:rsid w:val="00915B00"/>
    <w:rsid w:val="0095413D"/>
    <w:rsid w:val="0095748E"/>
    <w:rsid w:val="00961195"/>
    <w:rsid w:val="00965474"/>
    <w:rsid w:val="00970611"/>
    <w:rsid w:val="00971995"/>
    <w:rsid w:val="009758F5"/>
    <w:rsid w:val="00997F41"/>
    <w:rsid w:val="009A2173"/>
    <w:rsid w:val="009A5DD2"/>
    <w:rsid w:val="009A6D58"/>
    <w:rsid w:val="009C02C7"/>
    <w:rsid w:val="009C2BD2"/>
    <w:rsid w:val="009E3E3D"/>
    <w:rsid w:val="009E6CAA"/>
    <w:rsid w:val="009E6E27"/>
    <w:rsid w:val="009E7A5F"/>
    <w:rsid w:val="00A045A8"/>
    <w:rsid w:val="00A04AA4"/>
    <w:rsid w:val="00A12B8C"/>
    <w:rsid w:val="00A2658A"/>
    <w:rsid w:val="00A30152"/>
    <w:rsid w:val="00A43051"/>
    <w:rsid w:val="00A56895"/>
    <w:rsid w:val="00A577CF"/>
    <w:rsid w:val="00A64765"/>
    <w:rsid w:val="00A65EE8"/>
    <w:rsid w:val="00A76382"/>
    <w:rsid w:val="00A975EE"/>
    <w:rsid w:val="00AB62CA"/>
    <w:rsid w:val="00AD48DF"/>
    <w:rsid w:val="00AF4AE5"/>
    <w:rsid w:val="00B04C6A"/>
    <w:rsid w:val="00B23784"/>
    <w:rsid w:val="00B25F19"/>
    <w:rsid w:val="00B27AA8"/>
    <w:rsid w:val="00B3466B"/>
    <w:rsid w:val="00B449E3"/>
    <w:rsid w:val="00B67EB3"/>
    <w:rsid w:val="00B8692F"/>
    <w:rsid w:val="00B958BB"/>
    <w:rsid w:val="00BA40CB"/>
    <w:rsid w:val="00BB022A"/>
    <w:rsid w:val="00BB3D4A"/>
    <w:rsid w:val="00BD182F"/>
    <w:rsid w:val="00BE1FFC"/>
    <w:rsid w:val="00BF6EBC"/>
    <w:rsid w:val="00C216F8"/>
    <w:rsid w:val="00C54E81"/>
    <w:rsid w:val="00C5602F"/>
    <w:rsid w:val="00C72443"/>
    <w:rsid w:val="00C76F88"/>
    <w:rsid w:val="00CA23C6"/>
    <w:rsid w:val="00CE17A0"/>
    <w:rsid w:val="00CF3714"/>
    <w:rsid w:val="00D0062E"/>
    <w:rsid w:val="00D07825"/>
    <w:rsid w:val="00D131B2"/>
    <w:rsid w:val="00D141E6"/>
    <w:rsid w:val="00D3107E"/>
    <w:rsid w:val="00D3473C"/>
    <w:rsid w:val="00D43EE1"/>
    <w:rsid w:val="00D45726"/>
    <w:rsid w:val="00D532EE"/>
    <w:rsid w:val="00D560FF"/>
    <w:rsid w:val="00D60945"/>
    <w:rsid w:val="00D714F7"/>
    <w:rsid w:val="00D800CA"/>
    <w:rsid w:val="00D91429"/>
    <w:rsid w:val="00D97852"/>
    <w:rsid w:val="00DB306E"/>
    <w:rsid w:val="00DC7EC2"/>
    <w:rsid w:val="00DD63DF"/>
    <w:rsid w:val="00E140D5"/>
    <w:rsid w:val="00E337E0"/>
    <w:rsid w:val="00E33938"/>
    <w:rsid w:val="00E81461"/>
    <w:rsid w:val="00EB666F"/>
    <w:rsid w:val="00EC327F"/>
    <w:rsid w:val="00EC7CC5"/>
    <w:rsid w:val="00ED7C51"/>
    <w:rsid w:val="00EF54C4"/>
    <w:rsid w:val="00F078D5"/>
    <w:rsid w:val="00F11148"/>
    <w:rsid w:val="00F118B9"/>
    <w:rsid w:val="00F1416A"/>
    <w:rsid w:val="00F15C41"/>
    <w:rsid w:val="00F20063"/>
    <w:rsid w:val="00F50EDB"/>
    <w:rsid w:val="00F53237"/>
    <w:rsid w:val="00F556DF"/>
    <w:rsid w:val="00F73623"/>
    <w:rsid w:val="00F84740"/>
    <w:rsid w:val="00F9078E"/>
    <w:rsid w:val="00FD4CC0"/>
    <w:rsid w:val="00FD511D"/>
    <w:rsid w:val="00FF3A4A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8525"/>
  <w15:chartTrackingRefBased/>
  <w15:docId w15:val="{85C4458E-444B-44C2-B806-D54DE936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7241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7241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724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7241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567241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567241"/>
    <w:rPr>
      <w:vertAlign w:val="superscript"/>
    </w:rPr>
  </w:style>
  <w:style w:type="paragraph" w:styleId="Revize">
    <w:name w:val="Revision"/>
    <w:hidden/>
    <w:uiPriority w:val="99"/>
    <w:semiHidden/>
    <w:rsid w:val="00C76F88"/>
    <w:pPr>
      <w:spacing w:after="0" w:line="240" w:lineRule="auto"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76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6F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6F88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F88"/>
    <w:rPr>
      <w:b/>
      <w:bCs/>
      <w:kern w:val="0"/>
      <w:sz w:val="20"/>
      <w:szCs w:val="2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104CE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5CF"/>
    <w:rPr>
      <w:rFonts w:ascii="Segoe UI" w:hAnsi="Segoe UI" w:cs="Segoe UI"/>
      <w:kern w:val="0"/>
      <w:sz w:val="18"/>
      <w:szCs w:val="18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F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6EBC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F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EBC"/>
    <w:rPr>
      <w:kern w:val="0"/>
      <w14:ligatures w14:val="none"/>
    </w:rPr>
  </w:style>
  <w:style w:type="character" w:customStyle="1" w:styleId="cf01">
    <w:name w:val="cf01"/>
    <w:basedOn w:val="Standardnpsmoodstavce"/>
    <w:rsid w:val="00592F54"/>
    <w:rPr>
      <w:rFonts w:ascii="Segoe UI" w:hAnsi="Segoe UI" w:cs="Segoe UI" w:hint="default"/>
      <w:sz w:val="18"/>
      <w:szCs w:val="18"/>
    </w:rPr>
  </w:style>
  <w:style w:type="numbering" w:customStyle="1" w:styleId="Aktulnseznam1">
    <w:name w:val="Aktuální seznam1"/>
    <w:uiPriority w:val="99"/>
    <w:rsid w:val="00D43EE1"/>
    <w:pPr>
      <w:numPr>
        <w:numId w:val="7"/>
      </w:numPr>
    </w:pPr>
  </w:style>
  <w:style w:type="numbering" w:customStyle="1" w:styleId="Aktulnseznam2">
    <w:name w:val="Aktuální seznam2"/>
    <w:uiPriority w:val="99"/>
    <w:rsid w:val="00FD511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70CDD-6AD2-4FC4-B2D5-E750AE36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Dobiáš Martin, MUDr., Ph.D.</dc:creator>
  <cp:keywords/>
  <dc:description/>
  <cp:lastModifiedBy>doc. MUDr. Miloš Sokol, Ph.D. MBA LL.M.</cp:lastModifiedBy>
  <cp:revision>2</cp:revision>
  <cp:lastPrinted>2025-09-02T08:36:00Z</cp:lastPrinted>
  <dcterms:created xsi:type="dcterms:W3CDTF">2025-12-09T13:31:00Z</dcterms:created>
  <dcterms:modified xsi:type="dcterms:W3CDTF">2025-12-09T13:31:00Z</dcterms:modified>
</cp:coreProperties>
</file>